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Технические требования на выполнение работ</w:t>
      </w: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</w:p>
    <w:p>
      <w:pPr>
        <w:jc w:val="center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yellow"/>
        </w:rPr>
      </w:r>
      <w:r>
        <w:rPr>
          <w:b/>
          <w:sz w:val="32"/>
          <w:szCs w:val="32"/>
          <w:highlight w:val="yellow"/>
        </w:rPr>
      </w:r>
      <w:r>
        <w:rPr>
          <w:b/>
          <w:sz w:val="32"/>
          <w:szCs w:val="32"/>
          <w:highlight w:val="yellow"/>
        </w:rPr>
      </w:r>
    </w:p>
    <w:p>
      <w:pPr>
        <w:jc w:val="center"/>
        <w:rPr>
          <w:highlight w:val="white"/>
          <w:lang w:eastAsia="ru-RU"/>
          <w14:ligatures w14:val="none"/>
        </w:rPr>
      </w:pPr>
      <w:r>
        <w:rPr>
          <w:b/>
          <w:bCs/>
          <w:sz w:val="32"/>
          <w:szCs w:val="32"/>
          <w:highlight w:val="white"/>
          <w:lang w:eastAsia="ru-RU"/>
        </w:rPr>
      </w:r>
      <w:r>
        <w:rPr>
          <w:b/>
          <w:bCs/>
          <w:sz w:val="32"/>
          <w:szCs w:val="32"/>
          <w:highlight w:val="white"/>
          <w:lang w:eastAsia="ru-RU"/>
        </w:rPr>
        <w:t xml:space="preserve">ОКПД2 42.21.21 Выполнение строительно-монтажных работ по техперевооружению </w:t>
      </w:r>
      <w:r>
        <w:rPr>
          <w:b/>
          <w:bCs/>
          <w:sz w:val="32"/>
          <w:szCs w:val="32"/>
          <w:highlight w:val="white"/>
          <w:lang w:eastAsia="ru-RU"/>
        </w:rPr>
        <w:t xml:space="preserve">участка тепловой сети от УТ-1724А в сторону УТ-1725 для подключения объекта «Жилой дом расположенный по адресу: г.Владивосток, ул.Достоевского, 4"</w:t>
      </w:r>
      <w:r>
        <w:rPr>
          <w:b/>
          <w:bCs/>
          <w:sz w:val="32"/>
          <w:szCs w:val="32"/>
          <w:highlight w:val="white"/>
          <w:lang w:eastAsia="ru-RU"/>
        </w:rPr>
        <w:t xml:space="preserve">,Q_505-ПТС-54тп</w:t>
      </w:r>
      <w:r>
        <w:rPr>
          <w:b/>
          <w:bCs/>
          <w:sz w:val="32"/>
          <w:szCs w:val="32"/>
          <w:highlight w:val="white"/>
          <w:lang w:eastAsia="ru-RU"/>
        </w:rPr>
        <w:t xml:space="preserve">»</w:t>
      </w:r>
      <w:r>
        <w:rPr>
          <w:highlight w:val="white"/>
          <w:lang w:eastAsia="ru-RU"/>
          <w14:ligatures w14:val="none"/>
        </w:rPr>
      </w:r>
      <w:r>
        <w:rPr>
          <w:highlight w:val="white"/>
          <w:lang w:eastAsia="ru-RU"/>
          <w14:ligatures w14:val="none"/>
        </w:rPr>
      </w:r>
    </w:p>
    <w:p>
      <w:pPr>
        <w:jc w:val="center"/>
        <w:rPr>
          <w:b/>
          <w:bCs/>
          <w:sz w:val="32"/>
          <w:szCs w:val="32"/>
          <w:highlight w:val="white"/>
          <w:lang w:eastAsia="ru-RU"/>
          <w14:ligatures w14:val="none"/>
        </w:rPr>
      </w:pPr>
      <w:r>
        <w:rPr>
          <w:b/>
          <w:bCs/>
          <w:sz w:val="32"/>
          <w:szCs w:val="32"/>
          <w:highlight w:val="white"/>
          <w:lang w:eastAsia="ru-RU"/>
        </w:rPr>
        <w:t xml:space="preserve">Лот №</w:t>
      </w:r>
      <w:r>
        <w:rPr>
          <w:b/>
          <w:bCs/>
          <w:sz w:val="32"/>
          <w:szCs w:val="32"/>
          <w:highlight w:val="white"/>
          <w:lang w:eastAsia="ru-RU"/>
          <w14:ligatures w14:val="none"/>
        </w:rPr>
        <w:t xml:space="preserve">22137017-ТПИР ОБСЛ-2026-ДГК-ПТС</w:t>
      </w:r>
      <w:r>
        <w:rPr>
          <w:b/>
          <w:bCs/>
          <w:sz w:val="32"/>
          <w:szCs w:val="32"/>
          <w:highlight w:val="white"/>
          <w:lang w:eastAsia="ru-RU"/>
          <w14:ligatures w14:val="none"/>
        </w:rPr>
      </w:r>
      <w:r>
        <w:rPr>
          <w:b/>
          <w:bCs/>
          <w:sz w:val="32"/>
          <w:szCs w:val="32"/>
          <w:highlight w:val="white"/>
          <w:lang w:eastAsia="ru-RU"/>
          <w14:ligatures w14:val="none"/>
        </w:rPr>
      </w:r>
    </w:p>
    <w:p>
      <w:pPr>
        <w:jc w:val="center"/>
        <w:keepLines/>
        <w:keepNext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</w:r>
      <w:r>
        <w:rPr>
          <w:rFonts w:eastAsia="Calibri"/>
          <w:b/>
          <w:bCs/>
          <w:sz w:val="32"/>
          <w:szCs w:val="32"/>
        </w:rPr>
      </w:r>
      <w:r>
        <w:rPr>
          <w:rFonts w:eastAsia="Calibri"/>
          <w:b/>
          <w:bCs/>
          <w:sz w:val="32"/>
          <w:szCs w:val="32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90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56"/>
        <w:gridCol w:w="8097"/>
        <w:gridCol w:w="645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Обозначения и сокращения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1. Перечень объектов Заказчика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r/>
            <w:r/>
          </w:p>
        </w:tc>
        <w:tc>
          <w:tcPr>
            <w:tcW w:w="8718" w:type="dxa"/>
            <w:textDirection w:val="lrTb"/>
            <w:noWrap w:val="false"/>
          </w:tcPr>
          <w:p>
            <w:r/>
            <w:r/>
          </w:p>
        </w:tc>
        <w:tc>
          <w:tcPr>
            <w:tcW w:w="66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объемам и срокам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видам и объемам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2. Перечень и объем выполняемых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срокам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3. Требования по срокам выполнения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качеству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 4. Требования к качеству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17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Приложения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19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732"/>
        <w:numPr>
          <w:ilvl w:val="0"/>
          <w:numId w:val="0"/>
        </w:numPr>
      </w:pPr>
      <w:r/>
      <w:r/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31"/>
        <w:numPr>
          <w:ilvl w:val="0"/>
          <w:numId w:val="14"/>
        </w:numPr>
        <w:ind w:left="0" w:firstLine="0"/>
        <w:jc w:val="center"/>
        <w:spacing w:before="240"/>
        <w:rPr>
          <w:caps/>
        </w:rPr>
      </w:pPr>
      <w:r/>
      <w:bookmarkStart w:id="0" w:name="_Toc51339692"/>
      <w:r/>
      <w:bookmarkStart w:id="1" w:name="_Toc54646395"/>
      <w:r/>
      <w:bookmarkStart w:id="2" w:name="_Toc46743505"/>
      <w:r/>
      <w:bookmarkStart w:id="3" w:name="_Toc54646396"/>
      <w:r>
        <w:t xml:space="preserve">Общие сведения</w:t>
      </w:r>
      <w:bookmarkEnd w:id="0"/>
      <w:r/>
      <w:bookmarkEnd w:id="1"/>
      <w:r>
        <w:rPr>
          <w:caps/>
        </w:rPr>
      </w:r>
      <w:r>
        <w:rPr>
          <w:caps/>
        </w:rPr>
      </w:r>
    </w:p>
    <w:p>
      <w:pPr>
        <w:pStyle w:val="734"/>
        <w:numPr>
          <w:ilvl w:val="0"/>
          <w:numId w:val="0"/>
        </w:numPr>
        <w:ind w:left="567"/>
      </w:pPr>
      <w:r/>
      <w:r/>
    </w:p>
    <w:p>
      <w:pPr>
        <w:pStyle w:val="734"/>
        <w:ind w:left="567" w:firstLine="0"/>
      </w:pPr>
      <w:r>
        <w:t xml:space="preserve">Обозначения и сокращения</w:t>
      </w:r>
      <w:bookmarkEnd w:id="2"/>
      <w:r/>
      <w:bookmarkEnd w:id="3"/>
      <w:r/>
      <w:r/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ИТР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Инженерно-технические ресурсы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НАКС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Национальное агентство контроля сварки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ППР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производства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РД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Руководящий документ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СНиП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Строительные нормы и правила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Технические требования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734"/>
        <w:ind w:firstLine="135"/>
      </w:pPr>
      <w:r/>
      <w:bookmarkStart w:id="4" w:name="_Toc46743506"/>
      <w:r/>
      <w:bookmarkStart w:id="5" w:name="_Toc54646397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ind w:firstLine="567"/>
        <w:jc w:val="both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ОКПД2 42.21.21 Выполнение строительно-монтажных работ по техперевооружению участка тепловой сети от УТ-1724А в сторону УТ-1725 для подключения объекта "Жилой дом расположенный по адресу: г.Владивосток, ул.Достоевского, 4",Q_505-ПТС-54тп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734"/>
        <w:ind w:firstLine="135"/>
      </w:pPr>
      <w:r/>
      <w:bookmarkStart w:id="6" w:name="_Toc46743507"/>
      <w:r/>
      <w:bookmarkStart w:id="7" w:name="_Toc54646398"/>
      <w:r>
        <w:t xml:space="preserve">Цель </w:t>
      </w:r>
      <w:bookmarkEnd w:id="6"/>
      <w:r>
        <w:t xml:space="preserve">выполнения работ</w:t>
      </w:r>
      <w:bookmarkEnd w:id="7"/>
      <w:r/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Техперевооружение тепловой сети с целью подключения новых потребителей к капитальным сетям АО «ДГК».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after="28" w:line="272" w:lineRule="atLeast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eastAsia="Calibri"/>
          <w:b/>
          <w:sz w:val="22"/>
          <w:szCs w:val="22"/>
        </w:rPr>
      </w:pPr>
      <w:r>
        <w:rPr>
          <w:b/>
          <w:sz w:val="23"/>
          <w:szCs w:val="23"/>
        </w:rPr>
        <w:t xml:space="preserve">Таблица 1. Перечень объектов Заказчика</w:t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tbl>
      <w:tblPr>
        <w:tblStyle w:val="902"/>
        <w:tblW w:w="10031" w:type="dxa"/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2152"/>
        <w:gridCol w:w="2525"/>
        <w:gridCol w:w="1244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№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п/п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Наименование объекта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W w:w="2152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Расположение объекта </w:t>
            </w:r>
            <w:r>
              <w:rPr>
                <w:rFonts w:eastAsia="Calibri"/>
                <w:b/>
                <w:sz w:val="20"/>
                <w:szCs w:val="20"/>
              </w:rPr>
              <w:br/>
              <w:t xml:space="preserve">(место производства работ)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W w:w="2525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Наименование основного средства </w:t>
            </w:r>
            <w:r>
              <w:rPr>
                <w:rFonts w:eastAsia="Calibri"/>
                <w:b/>
                <w:sz w:val="20"/>
                <w:szCs w:val="20"/>
              </w:rPr>
              <w:br/>
              <w:t xml:space="preserve">(в отноше</w:t>
            </w:r>
            <w:r>
              <w:rPr>
                <w:rFonts w:eastAsia="Calibri"/>
                <w:b/>
                <w:sz w:val="20"/>
                <w:szCs w:val="20"/>
              </w:rPr>
              <w:t xml:space="preserve">нии которого выполняются работы)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Примечания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  <w14:ligatures w14:val="none"/>
              </w:rPr>
            </w:pPr>
            <w:r>
              <w:rPr>
                <w:rFonts w:eastAsia="Calibri"/>
                <w:sz w:val="20"/>
                <w:szCs w:val="20"/>
              </w:rPr>
              <w:t xml:space="preserve">2</w:t>
            </w:r>
            <w:r>
              <w:rPr>
                <w:rFonts w:eastAsia="Calibri"/>
                <w:sz w:val="20"/>
                <w:szCs w:val="20"/>
                <w14:ligatures w14:val="none"/>
              </w:rPr>
            </w:r>
            <w:r>
              <w:rPr>
                <w:rFonts w:eastAsia="Calibri"/>
                <w:sz w:val="20"/>
                <w:szCs w:val="20"/>
                <w14:ligatures w14:val="none"/>
              </w:rPr>
            </w:r>
          </w:p>
        </w:tc>
        <w:tc>
          <w:tcPr>
            <w:tcW w:w="215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52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5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  <w:highlight w:val="white"/>
                <w14:ligatures w14:val="non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ОКПД2 42.21.21 Выполнение строительно-монтажных работ по техперевооружению участка тепловой сети от УТ-1724А в сторону УТ-1725 для подключения объекта "Жилой дом расположенный по адресу: г.Владивосток, ул.Достоевского, 4",Q_505-ПТС-54тп</w:t>
            </w:r>
            <w:r>
              <w:rPr>
                <w:rFonts w:eastAsia="Calibri"/>
                <w:sz w:val="20"/>
                <w:szCs w:val="20"/>
                <w:highlight w:val="white"/>
                <w14:ligatures w14:val="none"/>
              </w:rPr>
            </w:r>
            <w:r>
              <w:rPr>
                <w:rFonts w:eastAsia="Calibri"/>
                <w:sz w:val="20"/>
                <w:szCs w:val="20"/>
                <w:highlight w:val="white"/>
                <w14:ligatures w14:val="none"/>
              </w:rPr>
            </w:r>
          </w:p>
          <w:p>
            <w:pPr>
              <w:rPr>
                <w:rFonts w:eastAsia="Calibri"/>
                <w:sz w:val="20"/>
                <w:szCs w:val="20"/>
                <w14:ligatures w14:val="none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  <w14:ligatures w14:val="none"/>
              </w:rPr>
            </w:r>
            <w:r>
              <w:rPr>
                <w:rFonts w:eastAsia="Calibri"/>
                <w:sz w:val="20"/>
                <w:szCs w:val="20"/>
                <w14:ligatures w14:val="none"/>
              </w:rPr>
            </w:r>
          </w:p>
        </w:tc>
        <w:tc>
          <w:tcPr>
            <w:tcW w:w="2152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СП «Приморские тепловые сети» АО «ДГК» (СП «ПТС» АО ДГК») Российская Федерация, Приморский Край, г. Владивосток, т</w:t>
            </w:r>
            <w:r>
              <w:rPr>
                <w:rFonts w:eastAsia="Calibri"/>
                <w:sz w:val="20"/>
                <w:szCs w:val="20"/>
              </w:rPr>
              <w:t xml:space="preserve">епловая сеть №17  </w:t>
            </w:r>
            <w:r>
              <w:rPr>
                <w:rFonts w:eastAsia="Calibri"/>
                <w:sz w:val="20"/>
                <w:szCs w:val="20"/>
              </w:rPr>
              <w:t xml:space="preserve">УТ-1724А в сторону УТ-1725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525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t xml:space="preserve">Тепловая сеть №17  </w:t>
            </w:r>
            <w:r>
              <w:rPr>
                <w:rFonts w:eastAsia="Calibri"/>
                <w:sz w:val="20"/>
                <w:szCs w:val="20"/>
              </w:rPr>
              <w:t xml:space="preserve">УТ-1724А в сторону УТ-1725 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(инв. №</w:t>
            </w:r>
            <w:r>
              <w:rPr>
                <w:rFonts w:eastAsia="Calibri"/>
                <w:sz w:val="20"/>
                <w:szCs w:val="20"/>
              </w:rPr>
              <w:t xml:space="preserve">00000000000000034183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pStyle w:val="734"/>
        <w:ind w:left="0" w:firstLine="567"/>
        <w:jc w:val="both"/>
      </w:pPr>
      <w:r>
        <w:t xml:space="preserve">Информация в отношении исполнения договора, </w:t>
      </w:r>
      <w:bookmarkStart w:id="8" w:name="_Hlk46492347"/>
      <w:r>
        <w:t xml:space="preserve">котор</w:t>
      </w:r>
      <w:r>
        <w:t xml:space="preserve">ая должна быть учтена при подготовке заявки </w:t>
      </w:r>
      <w:bookmarkEnd w:id="8"/>
      <w:r>
        <w:t xml:space="preserve">(в том числе перечень ресурсов, услуг и документов, предоставляемых Заказчиком на этапе исполнения договора)</w:t>
      </w:r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3"/>
          <w:szCs w:val="23"/>
        </w:rPr>
      </w:pPr>
      <w:r/>
      <w:bookmarkStart w:id="9" w:name="_Toc54646402"/>
      <w:r/>
      <w:bookmarkStart w:id="10" w:name="_Toc50125126"/>
      <w:r/>
      <w:bookmarkStart w:id="11" w:name="_Toc46743510"/>
      <w:r>
        <w:rPr>
          <w:sz w:val="23"/>
          <w:szCs w:val="23"/>
        </w:rPr>
        <w:t xml:space="preserve">1.5.1. После письменного запроса Подрядчика Заказчик предоставляет техническую и иную документацию, сод</w:t>
      </w:r>
      <w:r>
        <w:rPr>
          <w:sz w:val="23"/>
          <w:szCs w:val="23"/>
        </w:rPr>
        <w:t xml:space="preserve">ержащую исходные данные для выполнения Подрядчиком Работ;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1.5.2. 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</w:t>
      </w:r>
      <w:r>
        <w:rPr>
          <w:sz w:val="23"/>
          <w:szCs w:val="23"/>
        </w:rPr>
        <w:t xml:space="preserve">елей выполнения Работ по Договору.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734"/>
        <w:ind w:firstLine="135"/>
      </w:pPr>
      <w:r>
        <w:t xml:space="preserve">Иные требования и сведения общего характера</w:t>
      </w:r>
      <w:bookmarkEnd w:id="9"/>
      <w:r>
        <w:t xml:space="preserve">.</w:t>
      </w:r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Перед началом выполнения работ Подрядчик должен передать в Управление градостроительства и архитектуры заявку на открытие разрешения (ордера) на производство земляных работ. Подрядчик несёт ответственность за сохранность благоустройства территории, прилега</w:t>
      </w:r>
      <w:r>
        <w:rPr>
          <w:sz w:val="23"/>
          <w:szCs w:val="23"/>
        </w:rPr>
        <w:t xml:space="preserve">ющей к отведённым для производства работ земельных участков, а также за последствия не закрытия разрешения в срок.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731"/>
        <w:ind w:left="3686"/>
        <w:rPr>
          <w:caps/>
        </w:rPr>
      </w:pPr>
      <w:r/>
      <w:bookmarkStart w:id="12" w:name="_Toc51339693"/>
      <w:r/>
      <w:bookmarkStart w:id="13" w:name="_Toc54646403"/>
      <w:r>
        <w:t xml:space="preserve">Требования к продукции</w:t>
      </w:r>
      <w:bookmarkEnd w:id="12"/>
      <w:r/>
      <w:bookmarkEnd w:id="13"/>
      <w:r>
        <w:rPr>
          <w:caps/>
        </w:rPr>
      </w:r>
      <w:r>
        <w:rPr>
          <w:caps/>
        </w:rPr>
      </w:r>
    </w:p>
    <w:p>
      <w:pPr>
        <w:pStyle w:val="734"/>
        <w:ind w:firstLine="135"/>
      </w:pPr>
      <w:r/>
      <w:bookmarkStart w:id="14" w:name="_Toc54646404"/>
      <w:r>
        <w:t xml:space="preserve">Требования к объемам и срокам выполнения работ</w:t>
      </w:r>
      <w:bookmarkEnd w:id="14"/>
      <w:r/>
      <w:r/>
    </w:p>
    <w:p>
      <w:pPr>
        <w:pStyle w:val="733"/>
      </w:pPr>
      <w:r/>
      <w:bookmarkStart w:id="15" w:name="_Toc54646405"/>
      <w:r>
        <w:t xml:space="preserve">Требования к видам и объемам работ</w:t>
      </w:r>
      <w:bookmarkEnd w:id="15"/>
      <w:r/>
      <w:r/>
    </w:p>
    <w:p>
      <w:pPr>
        <w:pStyle w:val="731"/>
        <w:numPr>
          <w:ilvl w:val="0"/>
          <w:numId w:val="0"/>
        </w:numPr>
        <w:ind w:firstLine="567"/>
        <w:rPr>
          <w:sz w:val="24"/>
          <w:szCs w:val="24"/>
        </w:rPr>
      </w:pPr>
      <w:r/>
      <w:bookmarkStart w:id="16" w:name="_Toc51339695"/>
      <w:r/>
      <w:bookmarkStart w:id="17" w:name="_Toc54646406"/>
      <w:r>
        <w:rPr>
          <w:sz w:val="24"/>
          <w:szCs w:val="24"/>
        </w:rPr>
        <w:t xml:space="preserve">Таблица 2. Перечень </w:t>
      </w:r>
      <w:bookmarkEnd w:id="16"/>
      <w:r>
        <w:rPr>
          <w:sz w:val="24"/>
          <w:szCs w:val="24"/>
        </w:rPr>
        <w:t xml:space="preserve">и объем выполня</w:t>
      </w:r>
      <w:r>
        <w:rPr>
          <w:sz w:val="24"/>
          <w:szCs w:val="24"/>
        </w:rPr>
        <w:t xml:space="preserve">емых работ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keepNext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работ / этапа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1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3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4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1799"/>
        </w:trPr>
        <w:tc>
          <w:tcPr>
            <w:tcW w:w="850" w:type="dxa"/>
            <w:textDirection w:val="lrTb"/>
            <w:noWrap w:val="false"/>
          </w:tcPr>
          <w:p>
            <w:pPr>
              <w:pStyle w:val="734"/>
              <w:numPr>
                <w:ilvl w:val="0"/>
                <w:numId w:val="0"/>
              </w:numPr>
              <w:ind w:left="34"/>
              <w:rPr>
                <w:highlight w:val="white"/>
              </w:rPr>
            </w:pPr>
            <w:r>
              <w:rPr>
                <w:highlight w:val="white"/>
              </w:rPr>
              <w:t xml:space="preserve">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  <w:highlight w:val="white"/>
                <w14:ligatures w14:val="none"/>
              </w:rPr>
            </w:pPr>
            <w:r>
              <w:rPr>
                <w:rFonts w:eastAsia="Calibri"/>
                <w:sz w:val="23"/>
                <w:szCs w:val="23"/>
                <w:highlight w:val="white"/>
              </w:rPr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ОКПД2 42.21.21 Выполнение строительно-монтажных работ по техперевооружению участка тепловой сети от УТ-1724А в сторону УТ-1725 для подключения объекта "Жилой дом расположенный по адресу: г.Владивосток, ул.Достоевского, 4",Q_505-ПТС-54тп</w:t>
            </w:r>
            <w:r>
              <w:rPr>
                <w:rFonts w:eastAsia="Calibri"/>
                <w:sz w:val="20"/>
                <w:szCs w:val="20"/>
                <w:highlight w:val="white"/>
                <w14:ligatures w14:val="none"/>
              </w:rPr>
            </w:r>
            <w:r>
              <w:rPr>
                <w:rFonts w:eastAsia="Calibri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соответствии с ведомостью объемов работ (Приложение №1 к настоящим ТТ)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733"/>
      </w:pPr>
      <w:r/>
      <w:bookmarkStart w:id="18" w:name="_Toc51339696"/>
      <w:r/>
      <w:bookmarkStart w:id="19" w:name="_Toc54646407"/>
      <w:r>
        <w:t xml:space="preserve">Требования </w:t>
      </w:r>
      <w:bookmarkEnd w:id="18"/>
      <w:r>
        <w:t xml:space="preserve">к срокам выполнения работ</w:t>
      </w:r>
      <w:bookmarkEnd w:id="19"/>
      <w:r/>
      <w:r/>
    </w:p>
    <w:p>
      <w:pPr>
        <w:pStyle w:val="731"/>
        <w:numPr>
          <w:ilvl w:val="0"/>
          <w:numId w:val="0"/>
        </w:numPr>
        <w:ind w:firstLine="567"/>
        <w:rPr>
          <w:sz w:val="24"/>
          <w:szCs w:val="24"/>
        </w:rPr>
      </w:pPr>
      <w:r/>
      <w:bookmarkStart w:id="20" w:name="_Toc50125127"/>
      <w:r/>
      <w:bookmarkStart w:id="21" w:name="_Toc51339697"/>
      <w:r/>
      <w:bookmarkStart w:id="22" w:name="_Toc54646408"/>
      <w:r/>
      <w:bookmarkEnd w:id="10"/>
      <w:r>
        <w:rPr>
          <w:sz w:val="24"/>
          <w:szCs w:val="24"/>
        </w:rPr>
        <w:t xml:space="preserve">Таблица 3. </w:t>
      </w:r>
      <w:bookmarkStart w:id="23" w:name="_Hlk50465284"/>
      <w:r>
        <w:rPr>
          <w:sz w:val="24"/>
          <w:szCs w:val="24"/>
        </w:rPr>
        <w:t xml:space="preserve">Требования по срокам </w:t>
      </w:r>
      <w:bookmarkEnd w:id="20"/>
      <w:r/>
      <w:bookmarkEnd w:id="21"/>
      <w:r/>
      <w:bookmarkEnd w:id="23"/>
      <w:r>
        <w:rPr>
          <w:sz w:val="24"/>
          <w:szCs w:val="24"/>
        </w:rPr>
        <w:t xml:space="preserve">выполнения работ</w:t>
      </w:r>
      <w:bookmarkEnd w:id="11"/>
      <w:r/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2694"/>
        <w:gridCol w:w="2438"/>
      </w:tblGrid>
      <w:tr>
        <w:tblPrEx/>
        <w:trPr/>
        <w:tc>
          <w:tcPr>
            <w:shd w:val="clear" w:color="auto" w:fill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п/п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работ/ этапа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началу срока выполнения работ/ этапа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4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окончанию срока выполнения работ / этапа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382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438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pStyle w:val="945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3827" w:type="dxa"/>
            <w:textDirection w:val="lrTb"/>
            <w:noWrap w:val="false"/>
          </w:tcPr>
          <w:p>
            <w:pPr>
              <w:rPr>
                <w:rFonts w:eastAsia="Calibri"/>
                <w:sz w:val="20"/>
                <w:szCs w:val="20"/>
                <w14:ligatures w14:val="none"/>
              </w:rPr>
            </w:pPr>
            <w:r>
              <w:rPr>
                <w:rFonts w:eastAsia="Calibri"/>
                <w:sz w:val="23"/>
                <w:szCs w:val="23"/>
              </w:rPr>
            </w:r>
            <w:r>
              <w:rPr>
                <w:rFonts w:eastAsia="Calibri"/>
                <w:sz w:val="23"/>
                <w:szCs w:val="23"/>
              </w:rPr>
              <w:t xml:space="preserve">ОКПД2 42.21.21 Выполнение строительно-монтажных работ по техперевооружению участка тепловой сети от УТ-1724А в сторону УТ-1725 для подключения объекта "Жилой дом расположенный по адресу: г.Владивосток, ул.Достоевского, 4",Q_505-ПТС-54тп</w:t>
            </w:r>
            <w:r>
              <w:rPr>
                <w:rFonts w:eastAsia="Calibri"/>
                <w:sz w:val="20"/>
                <w:szCs w:val="20"/>
                <w14:ligatures w14:val="none"/>
              </w:rPr>
            </w:r>
            <w:r>
              <w:rPr>
                <w:rFonts w:eastAsia="Calibri"/>
                <w:sz w:val="20"/>
                <w:szCs w:val="20"/>
                <w14:ligatures w14:val="none"/>
              </w:rPr>
            </w:r>
          </w:p>
          <w:p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3"/>
                <w:szCs w:val="23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rPr>
                <w:rFonts w:eastAsia="Calibri"/>
                <w:bCs/>
                <w:sz w:val="23"/>
                <w:szCs w:val="23"/>
              </w:rPr>
            </w:pPr>
            <w:r>
              <w:rPr>
                <w:rFonts w:eastAsia="Calibri"/>
                <w:bCs/>
                <w:sz w:val="23"/>
                <w:szCs w:val="23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bCs/>
                <w:sz w:val="23"/>
                <w:szCs w:val="23"/>
              </w:rPr>
            </w:r>
            <w:r>
              <w:rPr>
                <w:rFonts w:eastAsia="Calibri"/>
                <w:bCs/>
                <w:sz w:val="23"/>
                <w:szCs w:val="23"/>
              </w:rPr>
            </w:r>
          </w:p>
        </w:tc>
        <w:tc>
          <w:tcPr>
            <w:tcW w:w="2438" w:type="dxa"/>
            <w:textDirection w:val="lrTb"/>
            <w:noWrap w:val="false"/>
          </w:tcPr>
          <w:p>
            <w:pPr>
              <w:rPr>
                <w:rFonts w:eastAsia="Calibri"/>
                <w:bCs/>
                <w:sz w:val="23"/>
                <w:szCs w:val="23"/>
              </w:rPr>
            </w:pPr>
            <w:r>
              <w:rPr>
                <w:rFonts w:eastAsia="Calibri"/>
                <w:bCs/>
                <w:sz w:val="23"/>
                <w:szCs w:val="23"/>
              </w:rPr>
              <w:t xml:space="preserve">09.10.2026</w:t>
            </w:r>
            <w:r>
              <w:rPr>
                <w:rFonts w:eastAsia="Calibri"/>
                <w:bCs/>
                <w:sz w:val="23"/>
                <w:szCs w:val="23"/>
              </w:rPr>
            </w:r>
            <w:r>
              <w:rPr>
                <w:rFonts w:eastAsia="Calibri"/>
                <w:bCs/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i/>
          <w:sz w:val="23"/>
          <w:szCs w:val="23"/>
        </w:rPr>
        <w:t xml:space="preserve">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keepLines/>
        <w:keepNext/>
        <w:spacing w:before="240" w:after="60"/>
        <w:rPr>
          <w:rFonts w:eastAsia="Calibri"/>
          <w:b/>
          <w:sz w:val="23"/>
          <w:szCs w:val="23"/>
        </w:rPr>
        <w:outlineLvl w:val="0"/>
      </w:pPr>
      <w:r>
        <w:rPr>
          <w:rFonts w:eastAsia="Calibri"/>
          <w:b/>
          <w:sz w:val="23"/>
          <w:szCs w:val="23"/>
        </w:rPr>
      </w:r>
      <w:r>
        <w:rPr>
          <w:rFonts w:eastAsia="Calibri"/>
          <w:b/>
          <w:sz w:val="23"/>
          <w:szCs w:val="23"/>
        </w:rPr>
      </w:r>
      <w:r>
        <w:rPr>
          <w:rFonts w:eastAsia="Calibri"/>
          <w:b/>
          <w:sz w:val="23"/>
          <w:szCs w:val="23"/>
        </w:rPr>
      </w:r>
    </w:p>
    <w:p>
      <w:pPr>
        <w:keepLines/>
        <w:keepNext/>
        <w:spacing w:before="240" w:after="60"/>
        <w:rPr>
          <w:rFonts w:eastAsia="Calibri"/>
          <w:b/>
          <w:sz w:val="16"/>
          <w:szCs w:val="23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1274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16"/>
          <w:szCs w:val="23"/>
        </w:rPr>
        <w:t xml:space="preserve"> </w:t>
      </w:r>
      <w:r>
        <w:rPr>
          <w:rFonts w:eastAsia="Calibri"/>
          <w:b/>
          <w:sz w:val="16"/>
          <w:szCs w:val="23"/>
        </w:rPr>
      </w:r>
      <w:r>
        <w:rPr>
          <w:rFonts w:eastAsia="Calibri"/>
          <w:b/>
          <w:sz w:val="16"/>
          <w:szCs w:val="23"/>
        </w:rPr>
      </w:r>
    </w:p>
    <w:p>
      <w:pPr>
        <w:pStyle w:val="734"/>
        <w:ind w:left="0" w:firstLine="567"/>
      </w:pPr>
      <w:r>
        <w:t xml:space="preserve">Требования к качеству продукции</w:t>
      </w:r>
      <w:r/>
    </w:p>
    <w:p>
      <w:pPr>
        <w:pStyle w:val="945"/>
        <w:ind w:left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Таблица 4. </w:t>
      </w:r>
      <w:r>
        <w:rPr>
          <w:b/>
          <w:bCs/>
        </w:rPr>
        <w:t xml:space="preserve">Требования к качеству продукции 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rPr>
          <w:b w:val="0"/>
          <w:bCs w:val="0"/>
          <w:sz w:val="23"/>
          <w:szCs w:val="23"/>
          <w:highlight w:val="yellow"/>
        </w:rPr>
      </w:pPr>
      <w:r>
        <w:rPr>
          <w:b/>
          <w:bCs/>
          <w:sz w:val="23"/>
          <w:szCs w:val="23"/>
        </w:rPr>
        <w:t xml:space="preserve"> Наименование работ:</w:t>
      </w:r>
      <w:r>
        <w:rPr>
          <w:b/>
          <w:bCs/>
          <w:sz w:val="23"/>
          <w:szCs w:val="23"/>
          <w:highlight w:val="white"/>
        </w:rPr>
        <w:t xml:space="preserve"> </w:t>
      </w:r>
      <w:r>
        <w:rPr>
          <w:b w:val="0"/>
          <w:bCs w:val="0"/>
          <w:sz w:val="23"/>
          <w:szCs w:val="23"/>
          <w:highlight w:val="white"/>
        </w:rPr>
        <w:t xml:space="preserve">ОКПД2 42.21.21 Выполнение строительно-монтажных работ по техперевооружению участка тепловой сети от УТ-1724А в сторону УТ-1725 для подключения объекта "Жилой дом расположенный по адресу: г.Владивосток, ул.Достоевского, 4",Q_505-ПТС-54тп</w:t>
      </w:r>
      <w:r>
        <w:rPr>
          <w:b w:val="0"/>
          <w:bCs w:val="0"/>
          <w:sz w:val="23"/>
          <w:szCs w:val="23"/>
          <w:highlight w:val="yellow"/>
        </w:rPr>
      </w:r>
      <w:r>
        <w:rPr>
          <w:b w:val="0"/>
          <w:bCs w:val="0"/>
          <w:sz w:val="23"/>
          <w:szCs w:val="23"/>
          <w:highlight w:val="yellow"/>
        </w:rPr>
      </w:r>
    </w:p>
    <w:p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tbl>
      <w:tblPr>
        <w:tblStyle w:val="902"/>
        <w:tblW w:w="15139" w:type="dxa"/>
        <w:tblInd w:w="-5" w:type="dxa"/>
        <w:tblLook w:val="04A0" w:firstRow="1" w:lastRow="0" w:firstColumn="1" w:lastColumn="0" w:noHBand="0" w:noVBand="1"/>
      </w:tblPr>
      <w:tblGrid>
        <w:gridCol w:w="821"/>
        <w:gridCol w:w="3403"/>
        <w:gridCol w:w="425"/>
        <w:gridCol w:w="4678"/>
        <w:gridCol w:w="3260"/>
        <w:gridCol w:w="2552"/>
      </w:tblGrid>
      <w:tr>
        <w:tblPrEx/>
        <w:trPr/>
        <w:tc>
          <w:tcPr>
            <w:tcW w:w="821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п/п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40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параметров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Требование Заказчика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gridSpan w:val="2"/>
            <w:tcW w:w="581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Способ подтверждения участником соответствия тр</w:t>
            </w:r>
            <w:r>
              <w:rPr>
                <w:b/>
                <w:bCs/>
                <w:sz w:val="23"/>
                <w:szCs w:val="23"/>
              </w:rPr>
              <w:t xml:space="preserve">ебованиям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403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>
          <w:trHeight w:val="342"/>
        </w:trPr>
        <w:tc>
          <w:tcPr>
            <w:tcW w:w="82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3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4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  <w:lang w:val="en-US"/>
              </w:rPr>
            </w:pPr>
            <w:r>
              <w:rPr>
                <w:b/>
                <w:sz w:val="23"/>
                <w:szCs w:val="23"/>
                <w:lang w:val="en-US"/>
              </w:rPr>
              <w:t xml:space="preserve">5</w:t>
            </w:r>
            <w:r>
              <w:rPr>
                <w:b/>
                <w:sz w:val="23"/>
                <w:szCs w:val="23"/>
                <w:lang w:val="en-US"/>
              </w:rPr>
            </w:r>
            <w:r>
              <w:rPr>
                <w:b/>
                <w:sz w:val="23"/>
                <w:szCs w:val="23"/>
                <w:lang w:val="en-US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выполнению работ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должен предоставить в заявке согласие выполнить работы, полностью соответствующие настоящим ТТ, по форме Технического предложения, установленной в Документации о закупке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  <w:lang w:val="en-US"/>
              </w:rPr>
            </w:pPr>
            <w:r>
              <w:rPr>
                <w:b/>
                <w:sz w:val="23"/>
                <w:szCs w:val="23"/>
                <w:lang w:val="en-US"/>
              </w:rPr>
              <w:t xml:space="preserve">-</w:t>
            </w:r>
            <w:r>
              <w:rPr>
                <w:b/>
                <w:sz w:val="23"/>
                <w:szCs w:val="23"/>
                <w:lang w:val="en-US"/>
              </w:rPr>
            </w:r>
            <w:r>
              <w:rPr>
                <w:b/>
                <w:sz w:val="23"/>
                <w:szCs w:val="23"/>
                <w:lang w:val="en-US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spacing w:before="60" w:after="6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Общие требования к выполнению работ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2"/>
                <w:numId w:val="8"/>
              </w:numPr>
              <w:ind w:hanging="1199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gridSpan w:val="2"/>
            <w:shd w:val="clear" w:color="auto" w:fill="auto"/>
            <w:tcW w:w="5103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Работы подлежат выполнению Подрядчиком в строгом соответствии с ведомостью объемов работ (Приложение №1 к настоящим ТТ), требованиями СНиП, проектной документацией (Приложение №5 к настоящим ТТ), требованиями Применимого права и указаниями Заказчика.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</w:t>
            </w:r>
            <w:r>
              <w:rPr>
                <w:b/>
                <w:sz w:val="23"/>
                <w:szCs w:val="23"/>
              </w:rPr>
              <w:t xml:space="preserve">ребования к организации работ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2"/>
                <w:numId w:val="8"/>
              </w:numPr>
              <w:ind w:hanging="1199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03" w:type="dxa"/>
            <w:vMerge w:val="restart"/>
            <w:textDirection w:val="lrTb"/>
            <w:noWrap w:val="false"/>
          </w:tcPr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организации процесса выполнения работ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r/>
            <w:r/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jc w:val="both"/>
              <w:rPr>
                <w:b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Разработка и согласование проекта производства работ (ППР).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1.2.2.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403" w:type="dxa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 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1.2.3.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03" w:type="dxa"/>
            <w:vMerge w:val="continue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Предоставить контакты и должность представителя Подрядчика,</w:t>
            </w:r>
            <w:r>
              <w:rPr>
                <w:bCs/>
                <w:sz w:val="23"/>
                <w:szCs w:val="23"/>
              </w:rPr>
              <w:t xml:space="preserve"> ответственного за соблюдение норм и правил в области охраны труда, электробезопасности, пожарной и промышленной безопасности, природоохранного </w:t>
            </w:r>
            <w:r>
              <w:rPr>
                <w:bCs/>
                <w:sz w:val="23"/>
                <w:szCs w:val="23"/>
              </w:rPr>
              <w:t xml:space="preserve">законодательства в месте производства Работ. Подрядчик обязан обеспечить присутствие указанного лица в месте про</w:t>
            </w:r>
            <w:r>
              <w:rPr>
                <w:bCs/>
                <w:sz w:val="23"/>
                <w:szCs w:val="23"/>
              </w:rPr>
              <w:t xml:space="preserve">изводства Работ в течение всего срока их выполнения.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1.2.4.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403" w:type="dxa"/>
            <w:vMerge w:val="continue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Обеспечить наличие у Подрядчика свидетельств НАКС </w:t>
            </w:r>
            <w:r>
              <w:rPr>
                <w:bCs/>
                <w:color w:val="000000"/>
                <w:sz w:val="24"/>
                <w:szCs w:val="24"/>
              </w:rPr>
              <w:t xml:space="preserve">(группа технических устройств ОПО </w:t>
            </w:r>
            <w:r>
              <w:rPr>
                <w:color w:val="000000"/>
                <w:sz w:val="24"/>
                <w:szCs w:val="24"/>
              </w:rPr>
              <w:t xml:space="preserve">котельное оборудование (КО 2) и строительные конструкции (СК-1,3))</w:t>
            </w:r>
            <w:r>
              <w:rPr>
                <w:bCs/>
                <w:sz w:val="23"/>
                <w:szCs w:val="23"/>
              </w:rPr>
              <w:t xml:space="preserve"> о готовности организации к применению аттестованной технологии сварки, свидетельства НАКС об аттестации сварочного оборудования в соответствии с требованиями РД 03-615-03.Приказа от 11 декабря 2020 г. N 519 «Об утверждении федеральных норм и правил в обла</w:t>
            </w:r>
            <w:r>
              <w:rPr>
                <w:bCs/>
                <w:sz w:val="23"/>
                <w:szCs w:val="23"/>
              </w:rPr>
              <w:t xml:space="preserve">сти промышленной безопасности "Требования к производству сварочных работ на опасных производственных объектах".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1.2.6.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403" w:type="dxa"/>
            <w:vMerge w:val="continue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Осуществлять мероприятия строительного контроля, возложенные на Подрядчика Положением о проведении строительного контроля при осущест</w:t>
            </w:r>
            <w:r>
              <w:rPr>
                <w:bCs/>
                <w:sz w:val="23"/>
                <w:szCs w:val="23"/>
              </w:rPr>
              <w:t xml:space="preserve">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 </w:t>
            </w:r>
            <w:r>
              <w:rPr>
                <w:sz w:val="23"/>
                <w:szCs w:val="23"/>
              </w:rPr>
              <w:t xml:space="preserve">«О порядке проведения строительного контроля при осуществлении  строительства</w:t>
            </w:r>
            <w:r>
              <w:rPr>
                <w:sz w:val="23"/>
                <w:szCs w:val="23"/>
              </w:rPr>
              <w:t xml:space="preserve">, реконструкции и капитального ремонта объектов  капитального строительства».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300"/>
        </w:trPr>
        <w:tc>
          <w:tcPr>
            <w:tcW w:w="821" w:type="dxa"/>
            <w:vAlign w:val="center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1.2.7.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40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5103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После производства строительно-монтажных работ оформить и зарегистрировать Декларацию соответствия ТР ТС 032/2013 в «Едином реестре выданных сертификатов соответствия и зарегистрированных деклараций о соответствии» согласно требованиям Технического регламе</w:t>
            </w:r>
            <w:r>
              <w:rPr>
                <w:bCs/>
                <w:sz w:val="23"/>
                <w:szCs w:val="23"/>
              </w:rPr>
              <w:t xml:space="preserve">нта Таможенного союза "О безопасности оборудования, работающего </w:t>
            </w:r>
            <w:r>
              <w:rPr>
                <w:bCs/>
                <w:sz w:val="23"/>
                <w:szCs w:val="23"/>
              </w:rPr>
              <w:t xml:space="preserve">под избыточным давлением" от 02 июля 2013.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tcW w:w="821" w:type="dxa"/>
            <w:vAlign w:val="center"/>
            <w:vMerge w:val="restart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оборудованию и материалам 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ind w:left="720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используемым запасным частям и материалам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945"/>
              <w:ind w:left="0" w:firstLine="27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Материалы, необходимые для выполнения работ, приобретаются Подрядчиком самостоятельно, согласно Ведомости объемов работ (Приложение №1) и Перечню материалов Подрядчика (Приложение №2) к настоящим ТТ.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>
              <w:rPr>
                <w:rFonts w:eastAsia="Calibri"/>
                <w:sz w:val="23"/>
                <w:szCs w:val="23"/>
              </w:rPr>
              <w:t xml:space="preserve">Подрядчик обязан обеспечить наличие соответствующих се</w:t>
            </w:r>
            <w:r>
              <w:rPr>
                <w:rFonts w:eastAsia="Calibri"/>
                <w:sz w:val="23"/>
                <w:szCs w:val="23"/>
              </w:rPr>
              <w:t xml:space="preserve">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 и оборудования. Копии таких сертификатов, технических паспортов и иных документов должны быт</w:t>
            </w:r>
            <w:r>
              <w:rPr>
                <w:rFonts w:eastAsia="Calibri"/>
                <w:sz w:val="23"/>
                <w:szCs w:val="23"/>
              </w:rPr>
              <w:t xml:space="preserve">ь предоставлены Заказчику до начала производства Работ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 проведении работ должны использоваться сертифицированные материалы на основании федеральных законов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Ма</w:t>
            </w:r>
            <w:r>
              <w:rPr>
                <w:sz w:val="23"/>
                <w:szCs w:val="23"/>
              </w:rPr>
              <w:t xml:space="preserve">териалы и оборудование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перегрузок, повреждений при перевозке любыми видами транспорт</w:t>
            </w:r>
            <w:r>
              <w:rPr>
                <w:sz w:val="23"/>
                <w:szCs w:val="23"/>
              </w:rPr>
              <w:t xml:space="preserve">а, длительного хранения, а также предохранять поставляемые материалы от внешних воздействий, обеспечивать их сохранность </w:t>
            </w:r>
            <w:r>
              <w:rPr>
                <w:sz w:val="23"/>
                <w:szCs w:val="23"/>
              </w:rPr>
              <w:t xml:space="preserve">при проведении погрузо-разгрузочных работ вручную или механизированными средствами.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Стоимость тары и/или упаковки включена в стоимость </w:t>
            </w:r>
            <w:r>
              <w:rPr>
                <w:sz w:val="23"/>
                <w:szCs w:val="23"/>
              </w:rPr>
              <w:t xml:space="preserve">материалов и оборудования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Гарантийный срок на материалы и оборудование, поставляемые Подрядчиком, составляет не менее гарантийного срока, установленного заводом изготовителем.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Подрядчиком в работе может быть применена эквивалентная продукция, предварит</w:t>
            </w:r>
            <w:r>
              <w:rPr>
                <w:sz w:val="23"/>
                <w:szCs w:val="23"/>
              </w:rPr>
              <w:t xml:space="preserve">ельно согласованная с Заказчиком.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 случае, если на этапе исполнения договора Подрядчиком, вместо материалов и оборудованиям конкретных торговых знаков, марок и/или наименований, указанных в Проектной документации  (Приложение № 5 к настоящим ТТ), Переч</w:t>
            </w:r>
            <w:r>
              <w:rPr>
                <w:sz w:val="23"/>
                <w:szCs w:val="23"/>
              </w:rPr>
              <w:t xml:space="preserve">не материалов (Приложение № 2 к настоящим ТТ), а также Ведомости объемов работ (Приложение № 1 к настоящим ТТ), будет применяться эквивалентная продукция*, Подрядчик принимает на себя все затраты по внесению соответствующих изменений в проектную и сметную </w:t>
            </w:r>
            <w:r>
              <w:rPr>
                <w:sz w:val="23"/>
                <w:szCs w:val="23"/>
              </w:rPr>
              <w:t xml:space="preserve">документацию, а также согласованию ее с Заказчиком без увеличения общей стоимости по Договору.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jc w:val="both"/>
              <w:rPr>
                <w:bCs/>
                <w:i/>
              </w:rPr>
            </w:pPr>
            <w:r>
              <w:rPr>
                <w:i/>
                <w:iCs/>
              </w:rPr>
              <w:t xml:space="preserve">*-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и</w:t>
            </w:r>
            <w:r>
              <w:rPr>
                <w:i/>
                <w:iCs/>
              </w:rPr>
              <w:t xml:space="preserve"> проектной документации, т.ч. по гарантийным срокам и срокам эксплуатации., указанных в перечне материалов и проектной документации.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tcW w:w="821" w:type="dxa"/>
            <w:vAlign w:val="center"/>
            <w:vMerge w:val="restart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/>
            <w:bookmarkStart w:id="24" w:name="_GoBack"/>
            <w:r/>
            <w:bookmarkEnd w:id="24"/>
            <w:r>
              <w:rPr>
                <w:sz w:val="23"/>
                <w:szCs w:val="23"/>
              </w:rPr>
              <w:t xml:space="preserve">1.3.2.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контролю качества работ и материалов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контролю качества работ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1"/>
              <w:ind w:firstLine="558"/>
              <w:jc w:val="both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</w:r>
            <w:r>
              <w:rPr>
                <w:b/>
                <w:i/>
                <w:sz w:val="23"/>
                <w:szCs w:val="23"/>
              </w:rPr>
            </w:r>
            <w:r>
              <w:rPr>
                <w:b/>
                <w:i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921"/>
              <w:jc w:val="both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Заказчик может самостоятельно или с привлечением третьих лиц осуществлять контроль, в том числе строительный, и </w:t>
            </w:r>
            <w:r>
              <w:rPr>
                <w:sz w:val="23"/>
                <w:szCs w:val="23"/>
              </w:rPr>
              <w:t xml:space="preserve">надзор за ходом и качеством выполняемых Подрядчиком и Субподрядчиками работ, соблюдением сроков и качеством их выполнения, не вмешиваясь при это</w:t>
            </w:r>
            <w:r>
              <w:rPr>
                <w:sz w:val="23"/>
                <w:szCs w:val="23"/>
              </w:rPr>
              <w:t xml:space="preserve">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контролю качества материалов/оборудования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5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921"/>
              <w:ind w:firstLine="558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Применяемые при монтаже материалы и оборудование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</w:t>
            </w:r>
            <w:r>
              <w:rPr>
                <w:sz w:val="23"/>
                <w:szCs w:val="23"/>
              </w:rPr>
              <w:t xml:space="preserve">их качество и применимость для данных условий эксплуатации.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персоналу Подрядчика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Общие требования к Подрядчику.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ind w:right="97"/>
              <w:jc w:val="both"/>
              <w:widowControl w:val="off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</w:r>
            <w:r>
              <w:rPr>
                <w:b/>
                <w:i/>
                <w:sz w:val="23"/>
                <w:szCs w:val="23"/>
              </w:rPr>
            </w:r>
            <w:r>
              <w:rPr>
                <w:b/>
                <w:i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Подрядчик должен производить работы квалифицированными специалистами рабочих специальностей и ИТР: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ind w:firstLine="567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аттестованных согласно «Правил по охране труда при эксплуатации электроустановок» Минтруда РФ от 15 декабря 2020 года N 903н, «</w:t>
            </w:r>
            <w:hyperlink r:id="rId13" w:tooltip="https://docs.cntd.ru/document/573068704#6540IN" w:anchor="6540IN" w:history="1">
              <w:r>
                <w:rPr>
                  <w:bCs/>
                  <w:sz w:val="23"/>
                  <w:szCs w:val="23"/>
                </w:rPr>
                <w:t xml:space="preserve">Правил </w:t>
              </w:r>
              <w:r>
                <w:rPr>
                  <w:bCs/>
                  <w:sz w:val="23"/>
                  <w:szCs w:val="23"/>
                </w:rPr>
                <w:t xml:space="preserve">по охране труда при работе с инструментом и приспособлениями</w:t>
              </w:r>
            </w:hyperlink>
            <w:r>
              <w:rPr>
                <w:bCs/>
                <w:sz w:val="23"/>
                <w:szCs w:val="23"/>
              </w:rPr>
              <w:t xml:space="preserve">» от 27 ноября 2020 года N 835н, « </w:t>
            </w:r>
            <w:hyperlink r:id="rId14" w:tooltip="https://docs.cntd.ru/document/573114692#6540IN" w:anchor="6540IN" w:history="1">
              <w:r>
                <w:rPr>
                  <w:bCs/>
                  <w:sz w:val="23"/>
                  <w:szCs w:val="23"/>
                </w:rPr>
                <w:t xml:space="preserve">Правил по охране труда при работе на высо</w:t>
              </w:r>
              <w:r>
                <w:rPr>
                  <w:bCs/>
                  <w:sz w:val="23"/>
                  <w:szCs w:val="23"/>
                </w:rPr>
                <w:t xml:space="preserve">те</w:t>
              </w:r>
            </w:hyperlink>
            <w:r>
              <w:rPr>
                <w:bCs/>
                <w:sz w:val="23"/>
                <w:szCs w:val="23"/>
              </w:rPr>
              <w:t xml:space="preserve">» от 16 ноября 2020 года N 782н,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 утверждённых от 16.09.2020 N 1479. 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firstLine="567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firstLine="567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</w:t>
            </w:r>
            <w:r>
              <w:rPr>
                <w:bCs/>
                <w:sz w:val="23"/>
                <w:szCs w:val="23"/>
              </w:rPr>
              <w:t xml:space="preserve">лами внутреннего распорядка, задачами, стоящими перед каждой бригадой: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firstLine="567"/>
              <w:jc w:val="both"/>
              <w:tabs>
                <w:tab w:val="left" w:pos="526" w:leader="none"/>
                <w:tab w:val="left" w:pos="967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right="97" w:firstLine="558"/>
              <w:jc w:val="both"/>
              <w:widowControl w:val="off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  <w:lang w:val="sr-Cyrl-CS"/>
              </w:rPr>
              <w:t xml:space="preserve">Подрядчик должен: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right="97" w:firstLine="558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</w:rPr>
              <w:t xml:space="preserve"> иметь производственную базу (позволяющую пров</w:t>
            </w:r>
            <w:r>
              <w:rPr>
                <w:color w:val="000000"/>
                <w:sz w:val="23"/>
              </w:rPr>
              <w:t xml:space="preserve">одить работы, </w:t>
            </w:r>
            <w:r>
              <w:rPr>
                <w:color w:val="000000"/>
                <w:sz w:val="24"/>
              </w:rPr>
              <w:t xml:space="preserve">в объеме, определенном ведомостью объемов работ (Приложение №1 к настоящим ТТ) и в сроки, определенные графиком выполнения работ,</w:t>
            </w:r>
            <w:r>
              <w:rPr>
                <w:color w:val="000000"/>
                <w:sz w:val="23"/>
              </w:rPr>
              <w:t xml:space="preserve"> а также материалы</w:t>
            </w:r>
            <w:r>
              <w:rPr>
                <w:color w:val="000000"/>
                <w:sz w:val="24"/>
              </w:rPr>
              <w:t xml:space="preserve"> </w:t>
            </w:r>
            <w:r>
              <w:rPr>
                <w:color w:val="000000"/>
                <w:sz w:val="23"/>
              </w:rPr>
              <w:t xml:space="preserve">в объеме, определенном в Перечне материалов Подрядчика (Приложение №2 к настоящим ТТ);</w:t>
            </w:r>
            <w:r/>
          </w:p>
          <w:p>
            <w:pPr>
              <w:ind w:firstLine="567"/>
              <w:jc w:val="both"/>
              <w:tabs>
                <w:tab w:val="left" w:pos="526" w:leader="none"/>
                <w:tab w:val="left" w:pos="967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firstLine="558"/>
              <w:jc w:val="both"/>
              <w:tabs>
                <w:tab w:val="left" w:pos="526" w:leader="none"/>
                <w:tab w:val="left" w:pos="967" w:leader="none"/>
              </w:tabs>
              <w:rPr>
                <w:b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Во время про</w:t>
            </w:r>
            <w:r>
              <w:rPr>
                <w:bCs/>
                <w:sz w:val="23"/>
                <w:szCs w:val="23"/>
              </w:rPr>
              <w:t xml:space="preserve">ведения работ команда ИТР Подрядчика должна поддерживать на должном уровне систему управления работами (инструментальное и материально-техническое обеспечение, уборка рабочих мест и конструкций оборудования, </w:t>
            </w:r>
            <w:r>
              <w:rPr>
                <w:bCs/>
                <w:sz w:val="23"/>
                <w:szCs w:val="23"/>
              </w:rPr>
              <w:t xml:space="preserve">транспортировка мусора и отходов, оплаты и стиму</w:t>
            </w:r>
            <w:r>
              <w:rPr>
                <w:bCs/>
                <w:sz w:val="23"/>
                <w:szCs w:val="23"/>
              </w:rPr>
              <w:t xml:space="preserve">лирования труда, мероприятия по безопасности труда, противопожарных мероприятий).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 xml:space="preserve">Допуск персонала Подрядчика к выполнению работ</w:t>
            </w:r>
            <w:r>
              <w:rPr>
                <w:rFonts w:eastAsia="Calibri"/>
                <w:sz w:val="23"/>
                <w:szCs w:val="23"/>
              </w:rPr>
            </w:r>
            <w:r>
              <w:rPr>
                <w:rFonts w:eastAsia="Calibri"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bCs/>
                <w:sz w:val="23"/>
                <w:szCs w:val="23"/>
                <w:highlight w:val="white"/>
              </w:rPr>
            </w:pPr>
            <w:r>
              <w:rPr>
                <w:bCs/>
                <w:sz w:val="23"/>
                <w:szCs w:val="23"/>
              </w:rPr>
              <w:t xml:space="preserve">Допуск персонала Подрядчика осуществляется согласно «Положения о допуске персонала подрядных организаций к в</w:t>
            </w:r>
            <w:r>
              <w:rPr>
                <w:bCs/>
                <w:sz w:val="23"/>
                <w:szCs w:val="23"/>
                <w:highlight w:val="white"/>
              </w:rPr>
              <w:t xml:space="preserve">ыполнению работ на объектах АО «ДГК»» (Приложение № 6 к настоящим ТТ).</w:t>
            </w:r>
            <w:r>
              <w:rPr>
                <w:bCs/>
                <w:sz w:val="23"/>
                <w:szCs w:val="23"/>
                <w:highlight w:val="white"/>
              </w:rPr>
            </w:r>
            <w:r>
              <w:rPr>
                <w:bCs/>
                <w:sz w:val="23"/>
                <w:szCs w:val="23"/>
                <w:highlight w:val="white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безопасности работ и охране труда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bCs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 xml:space="preserve">Требования к безопасности выполняемых работ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</w:t>
            </w:r>
            <w:r>
              <w:rPr>
                <w:bCs/>
                <w:sz w:val="23"/>
                <w:szCs w:val="23"/>
              </w:rPr>
              <w:t xml:space="preserve">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Требования к результатам работ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Общие требования к результатам работ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</w:rPr>
              <w:t xml:space="preserve">Общие требования к результатам работ</w:t>
            </w:r>
            <w:r>
              <w:rPr>
                <w:sz w:val="23"/>
                <w:szCs w:val="23"/>
                <w:lang w:eastAsia="en-US"/>
              </w:rPr>
            </w:r>
            <w:r>
              <w:rPr>
                <w:sz w:val="23"/>
                <w:szCs w:val="23"/>
                <w:lang w:eastAsia="en-US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en-US"/>
              </w:rPr>
              <w:t xml:space="preserve">Работы должны быть выполнены в соответствии с проектной документацией (Приложение № 5 к настоящим ТТ) и ведомостью объёмов работ (Приложение № 1 к настоящим ТТ), и приняты Заказчиком в Гарантийную эксплуатацию по Акту КС-11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976"/>
                <w:i w:val="0"/>
                <w:sz w:val="23"/>
                <w:szCs w:val="23"/>
                <w:shd w:val="clear" w:color="auto" w:fill="auto"/>
              </w:rPr>
              <w:t xml:space="preserve">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</w:t>
            </w:r>
            <w:r>
              <w:rPr>
                <w:sz w:val="23"/>
                <w:szCs w:val="23"/>
                <w:lang w:eastAsia="en-US"/>
              </w:rPr>
            </w:r>
            <w:r>
              <w:rPr>
                <w:sz w:val="23"/>
                <w:szCs w:val="23"/>
                <w:lang w:eastAsia="en-US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en-US"/>
              </w:rPr>
              <w:t xml:space="preserve">Подключение потребителей к тепловым сетям, а также восстановление работоспособности трубопроводов в безаварийном режиме в период</w:t>
            </w:r>
            <w:r>
              <w:rPr>
                <w:sz w:val="23"/>
                <w:szCs w:val="23"/>
                <w:lang w:eastAsia="en-US"/>
              </w:rPr>
              <w:t xml:space="preserve"> прохождения нагрузок, для подачи потребителям тепловой </w:t>
            </w:r>
            <w:r>
              <w:rPr>
                <w:sz w:val="23"/>
                <w:szCs w:val="23"/>
                <w:lang w:eastAsia="en-US"/>
              </w:rPr>
              <w:t xml:space="preserve">энергии установленных параметров и снижения тепловых потерь.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Гарантийный срок на результат работ</w:t>
            </w:r>
            <w:r>
              <w:rPr>
                <w:sz w:val="23"/>
                <w:szCs w:val="23"/>
                <w:lang w:eastAsia="en-US"/>
              </w:rPr>
            </w:r>
            <w:r>
              <w:rPr>
                <w:sz w:val="23"/>
                <w:szCs w:val="23"/>
                <w:lang w:eastAsia="en-US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  <w:lang w:eastAsia="en-US"/>
              </w:rPr>
            </w:pPr>
            <w:r/>
            <w:bookmarkStart w:id="25" w:name="_Ref361337777"/>
            <w:r>
              <w:rPr>
                <w:sz w:val="23"/>
                <w:szCs w:val="23"/>
                <w:lang w:eastAsia="en-US"/>
              </w:rPr>
              <w:t xml:space="preserve">Гарантийный срок составляет 24 (двадцать четыре) месяца и начинает течь с даты подписания Сторонами Актов по форме КС-11 </w:t>
            </w:r>
            <w:bookmarkEnd w:id="25"/>
            <w:r>
              <w:rPr>
                <w:sz w:val="23"/>
                <w:szCs w:val="23"/>
                <w:lang w:eastAsia="en-US"/>
              </w:rPr>
              <w:t xml:space="preserve">либо с даты прекращения (расторжения) Договора. Гарантийный срок может быть продлен в соответствии с условиями Договора. </w:t>
            </w:r>
            <w:r>
              <w:rPr>
                <w:sz w:val="23"/>
                <w:szCs w:val="23"/>
                <w:lang w:eastAsia="en-US"/>
              </w:rPr>
            </w:r>
            <w:r>
              <w:rPr>
                <w:sz w:val="23"/>
                <w:szCs w:val="23"/>
                <w:lang w:eastAsia="en-US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en-US"/>
              </w:rPr>
              <w:t xml:space="preserve">Подробно треб</w:t>
            </w:r>
            <w:r>
              <w:rPr>
                <w:sz w:val="23"/>
                <w:szCs w:val="23"/>
                <w:lang w:eastAsia="en-US"/>
              </w:rPr>
              <w:t xml:space="preserve">ования к сроку и объему предоставления гарантий указаны в Проекте</w:t>
            </w:r>
            <w:r>
              <w:rPr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  <w:lang w:eastAsia="en-US"/>
              </w:rPr>
              <w:t xml:space="preserve">договора подряда </w:t>
            </w:r>
            <w:r>
              <w:rPr>
                <w:i/>
                <w:sz w:val="23"/>
                <w:szCs w:val="23"/>
                <w:lang w:eastAsia="en-US"/>
              </w:rPr>
              <w:t xml:space="preserve">(раздел № 8)(Приложение №2 к Документации о закупке).</w:t>
            </w:r>
            <w:r>
              <w:rPr>
                <w:i/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Требования к порядку приемки результатов работ</w:t>
            </w:r>
            <w:r>
              <w:rPr>
                <w:rStyle w:val="976"/>
                <w:b w:val="0"/>
                <w:bCs/>
                <w:i w:val="0"/>
                <w:sz w:val="23"/>
                <w:szCs w:val="23"/>
                <w:shd w:val="clear" w:color="auto" w:fill="auto"/>
              </w:rPr>
              <w:t xml:space="preserve"> 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shd w:val="clear" w:color="auto" w:fill="ffffff"/>
              <w:tabs>
                <w:tab w:val="left" w:pos="284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Требования к сдачи-приемки работ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b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Подробно требования к порядку сдачи-приемки работ указаны в Проекте договора подряда </w:t>
            </w:r>
            <w:r>
              <w:rPr>
                <w:i/>
                <w:sz w:val="23"/>
                <w:szCs w:val="23"/>
                <w:lang w:eastAsia="en-US"/>
              </w:rPr>
              <w:t xml:space="preserve">(раздел № 4) </w:t>
            </w:r>
            <w:r>
              <w:rPr>
                <w:sz w:val="23"/>
                <w:szCs w:val="23"/>
                <w:lang w:eastAsia="en-US"/>
              </w:rPr>
              <w:t xml:space="preserve">(Приложение №2 к Документации о закупке).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shd w:val="clear" w:color="auto" w:fill="ffffff"/>
              <w:tabs>
                <w:tab w:val="left" w:pos="284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Требования к утилизации строительного мусора,  компенсации стоимость зеленых насаждений и изготовление топографического плана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134" w:leader="none"/>
              </w:tabs>
              <w:rPr>
                <w:rFonts w:eastAsia="Calibri"/>
                <w:bCs/>
                <w:sz w:val="23"/>
                <w:szCs w:val="23"/>
              </w:rPr>
            </w:pPr>
            <w:r>
              <w:rPr>
                <w:rFonts w:eastAsia="Calibri"/>
                <w:bCs/>
                <w:sz w:val="23"/>
                <w:szCs w:val="23"/>
              </w:rPr>
              <w:t xml:space="preserve">Расходы за утилизацию строительного мусора принимаются на основании представленных в составе исполнительной документации отчетных </w:t>
            </w:r>
            <w:r>
              <w:rPr>
                <w:rFonts w:eastAsia="Calibri"/>
                <w:bCs/>
                <w:sz w:val="23"/>
                <w:szCs w:val="23"/>
              </w:rPr>
              <w:t xml:space="preserve">документов (договоров со сторонними организациями на оказание услуг по утилизации мусора, актов выполненных работ или иных действующих в муниципальном образовании документов на утилизацию) в пределах учтённой в смете суммы. </w:t>
            </w:r>
            <w:r>
              <w:rPr>
                <w:rFonts w:eastAsia="Calibri"/>
                <w:bCs/>
                <w:sz w:val="23"/>
                <w:szCs w:val="23"/>
              </w:rPr>
            </w:r>
            <w:r>
              <w:rPr>
                <w:rFonts w:eastAsia="Calibri"/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оформлению документации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ind w:left="0"/>
              <w:shd w:val="clear" w:color="auto" w:fill="ffffff"/>
              <w:tabs>
                <w:tab w:val="left" w:pos="284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2.4.1.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shd w:val="clear" w:color="auto" w:fill="ffffff"/>
              <w:tabs>
                <w:tab w:val="left" w:pos="284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Требования к оформлению документации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945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b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Промежуточные (ежемесячные) объемы выполненных работ оформляются актом освидетельствования выполненных работ с приложением приемо-сдаточной и Исполнительной документации, а</w:t>
            </w:r>
            <w:r>
              <w:rPr>
                <w:bCs/>
                <w:sz w:val="23"/>
                <w:szCs w:val="23"/>
              </w:rPr>
              <w:t xml:space="preserve"> также </w:t>
            </w:r>
            <w:r>
              <w:rPr>
                <w:spacing w:val="-1"/>
                <w:sz w:val="23"/>
                <w:szCs w:val="23"/>
              </w:rPr>
              <w:t xml:space="preserve">материальный отчет формы М-29</w:t>
            </w:r>
            <w:r>
              <w:rPr>
                <w:bCs/>
                <w:sz w:val="23"/>
                <w:szCs w:val="23"/>
              </w:rPr>
              <w:t xml:space="preserve">. По завершению выполнения работ по договору </w:t>
            </w:r>
            <w:r>
              <w:rPr>
                <w:bCs/>
                <w:sz w:val="23"/>
                <w:szCs w:val="23"/>
              </w:rPr>
              <w:t xml:space="preserve">подряда оформляется а</w:t>
            </w:r>
            <w:r>
              <w:rPr>
                <w:sz w:val="23"/>
                <w:szCs w:val="23"/>
              </w:rPr>
              <w:t xml:space="preserve">кт КС-2 </w:t>
            </w:r>
            <w:r>
              <w:rPr>
                <w:bCs/>
                <w:sz w:val="23"/>
                <w:szCs w:val="23"/>
              </w:rPr>
              <w:t xml:space="preserve">и с</w:t>
            </w:r>
            <w:r>
              <w:rPr>
                <w:sz w:val="23"/>
                <w:szCs w:val="23"/>
              </w:rPr>
              <w:t xml:space="preserve">правка КС-3 </w:t>
            </w:r>
            <w:r>
              <w:rPr>
                <w:bCs/>
                <w:sz w:val="23"/>
                <w:szCs w:val="23"/>
              </w:rPr>
              <w:t xml:space="preserve">с приложением приемо-сдаточной и Исполнительной документации. Подробные требования указаны в Проекте договора подряда </w:t>
            </w:r>
            <w:r>
              <w:rPr>
                <w:i/>
                <w:sz w:val="23"/>
                <w:szCs w:val="23"/>
                <w:lang w:eastAsia="en-US"/>
              </w:rPr>
              <w:t xml:space="preserve">(раздел № 4) </w:t>
            </w:r>
            <w:r>
              <w:rPr>
                <w:sz w:val="23"/>
                <w:szCs w:val="23"/>
                <w:lang w:eastAsia="en-US"/>
              </w:rPr>
              <w:t xml:space="preserve">(Приложение №2 к Документации о закупке).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spacing w:before="40"/>
              <w:rPr>
                <w:b/>
                <w:bCs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</w:t>
            </w:r>
            <w:r>
              <w:rPr>
                <w:b/>
                <w:bCs/>
                <w:sz w:val="23"/>
                <w:szCs w:val="23"/>
              </w:rPr>
              <w:t xml:space="preserve">ах настоящих ТТ)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pStyle w:val="945"/>
              <w:ind w:left="0"/>
              <w:shd w:val="clear" w:color="auto" w:fill="ffffff"/>
              <w:tabs>
                <w:tab w:val="left" w:pos="284" w:leader="none"/>
              </w:tabs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При выполнении работ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О противопожарном режиме в РФ 16.09.2020 N 1479 (ред. от 31.12.2020);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СНиП 12-01-2004 «Организация строительства»;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СП 74.13330.2011 «Тепловые сети»;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СП 124.13330.2012. «Свод правил. Тепловые сети. Актуализированная редакция СНиП 41-02-2003 (утв. Приказом </w:t>
            </w:r>
            <w:r>
              <w:rPr>
                <w:sz w:val="23"/>
                <w:szCs w:val="23"/>
              </w:rPr>
              <w:t xml:space="preserve">Минрегиона</w:t>
            </w:r>
            <w:r>
              <w:rPr>
                <w:sz w:val="23"/>
                <w:szCs w:val="23"/>
              </w:rPr>
              <w:t xml:space="preserve"> России от 30.06.2012 г. №280);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«Правила техники безопасности при эксплуатации тепломеханического оборудования электростанций и тепловых сетей». РД 34.03.201-</w:t>
            </w:r>
            <w:r>
              <w:rPr>
                <w:sz w:val="23"/>
                <w:szCs w:val="23"/>
              </w:rPr>
              <w:t xml:space="preserve">97 (утв. Минтопэнерго России 03.04.1997 г.) (по состоянию на 03.04.2000 г.) (ред. от 22.02.2000 г.);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:highlight w:val="white"/>
                <w14:ligatures w14:val="none"/>
              </w:rPr>
            </w:pPr>
            <w:r>
              <w:rPr>
                <w:sz w:val="23"/>
                <w:szCs w:val="23"/>
              </w:rPr>
              <w:t xml:space="preserve">- СП 78.13330.2012. «Свод правил. Ав</w:t>
            </w:r>
            <w:r>
              <w:rPr>
                <w:sz w:val="23"/>
                <w:szCs w:val="23"/>
                <w:highlight w:val="white"/>
              </w:rPr>
              <w:t xml:space="preserve">томобильные дороги». Актуализированная редакция СНиП 3.06.03-85 (утв. Приказом </w:t>
            </w:r>
            <w:r>
              <w:rPr>
                <w:sz w:val="23"/>
                <w:szCs w:val="23"/>
                <w:highlight w:val="white"/>
              </w:rPr>
              <w:t xml:space="preserve">Минрегиона</w:t>
            </w:r>
            <w:r>
              <w:rPr>
                <w:sz w:val="23"/>
                <w:szCs w:val="23"/>
                <w:highlight w:val="white"/>
              </w:rPr>
              <w:t xml:space="preserve"> России от 30.06.2012 г. №272);</w:t>
            </w:r>
            <w:r>
              <w:rPr>
                <w:sz w:val="23"/>
                <w:szCs w:val="23"/>
                <w:highlight w:val="white"/>
                <w14:ligatures w14:val="none"/>
              </w:rPr>
            </w:r>
            <w:r>
              <w:rPr>
                <w:sz w:val="23"/>
                <w:szCs w:val="23"/>
                <w:highlight w:val="white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:highlight w:val="white"/>
                <w14:ligatures w14:val="none"/>
              </w:rPr>
            </w:pPr>
            <w:r>
              <w:rPr>
                <w:sz w:val="23"/>
                <w:szCs w:val="23"/>
                <w:highlight w:val="white"/>
              </w:rPr>
              <w:t xml:space="preserve">- ВСН 19-89 «Правила приемки работ при строительстве и ремонте автомобильных дорог» (утв. </w:t>
            </w:r>
            <w:r>
              <w:rPr>
                <w:sz w:val="23"/>
                <w:szCs w:val="23"/>
                <w:highlight w:val="white"/>
              </w:rPr>
              <w:t xml:space="preserve">Минавтодором</w:t>
            </w:r>
            <w:r>
              <w:rPr>
                <w:sz w:val="23"/>
                <w:szCs w:val="23"/>
                <w:highlight w:val="white"/>
              </w:rPr>
              <w:t xml:space="preserve"> РСФСР от 14.07.1989 г. №НА-18/266);</w:t>
            </w:r>
            <w:r>
              <w:rPr>
                <w:sz w:val="23"/>
                <w:szCs w:val="23"/>
                <w:highlight w:val="white"/>
                <w14:ligatures w14:val="none"/>
              </w:rPr>
            </w:r>
            <w:r>
              <w:rPr>
                <w:sz w:val="23"/>
                <w:szCs w:val="23"/>
                <w:highlight w:val="white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  <w:highlight w:val="white"/>
              </w:rPr>
              <w:t xml:space="preserve"> - «Сварка, термообработка </w:t>
            </w:r>
            <w:r>
              <w:rPr>
                <w:sz w:val="23"/>
                <w:szCs w:val="23"/>
              </w:rPr>
              <w:t xml:space="preserve">и контроль трубных систем котлов и трубопроводов при монтаже и ремонте энергетического оборудования» (РТМ-1С). Руководящий документ. РД 153-34.1-003-01" (утв. Приказом Минэнерго РФ от 02.07.2001 г. №197);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ГОСТ 16037-80. Межгосударственный стандарт. Соединения сварные стальных трубопроводов. Основные типы, конструктивные элементы и размеры (введен в действие Постановлением Госстандарта СССР от 24.04.1980 г. №1876) (ред. от 01.12.1990 г.)</w:t>
            </w:r>
            <w:r>
              <w:rPr>
                <w:sz w:val="23"/>
                <w:szCs w:val="23"/>
              </w:rPr>
              <w:t xml:space="preserve">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 </w:t>
            </w:r>
            <w:r>
              <w:rPr>
                <w:sz w:val="23"/>
                <w:szCs w:val="23"/>
              </w:rPr>
              <w:t xml:space="preserve">Сравнительный анализ </w:t>
            </w:r>
            <w:r>
              <w:rPr>
                <w:sz w:val="23"/>
                <w:szCs w:val="23"/>
              </w:rPr>
              <w:t xml:space="preserve">правил по охране труда при погрузочно-разгрузочных работах и </w:t>
            </w:r>
            <w:r>
              <w:rPr>
                <w:sz w:val="23"/>
                <w:szCs w:val="23"/>
              </w:rPr>
              <w:t xml:space="preserve">размещении грузов от  21 января 2021</w:t>
            </w:r>
            <w:r>
              <w:rPr>
                <w:sz w:val="23"/>
                <w:szCs w:val="23"/>
              </w:rPr>
              <w:t xml:space="preserve"> утвержденные Приказом Минтруда России от 28.10.2020г. №753н</w:t>
            </w:r>
            <w:r>
              <w:rPr>
                <w:sz w:val="23"/>
                <w:szCs w:val="23"/>
              </w:rPr>
              <w:t xml:space="preserve"> «Об  утверждении Правил по охране труда при погрузочно-разгрузочн</w:t>
            </w:r>
            <w:r>
              <w:rPr>
                <w:sz w:val="23"/>
                <w:szCs w:val="23"/>
              </w:rPr>
              <w:t xml:space="preserve">ых работах и  размещении грузов»;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СНиП 12-03-2001 «Безопасность труда в строительстве. Часть 1. Общие требования». </w:t>
            </w:r>
            <w:r>
              <w:rPr>
                <w:sz w:val="23"/>
                <w:szCs w:val="23"/>
              </w:rPr>
              <w:t xml:space="preserve">Приняты и введены в действие Постановлением Госстроя РФ от 23.07.2001 г. №80;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:highlight w:val="white"/>
                <w14:ligatures w14:val="none"/>
              </w:rPr>
            </w:pPr>
            <w:r>
              <w:rPr>
                <w:sz w:val="23"/>
                <w:szCs w:val="23"/>
              </w:rPr>
              <w:t xml:space="preserve">- С</w:t>
            </w:r>
            <w:r>
              <w:rPr>
                <w:sz w:val="23"/>
                <w:szCs w:val="23"/>
                <w:highlight w:val="white"/>
              </w:rPr>
              <w:t xml:space="preserve">НиП 12-04-2002 «Безопасность труда в строительстве.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sz w:val="23"/>
                <w:szCs w:val="23"/>
                <w:highlight w:val="white"/>
                <w14:ligatures w14:val="none"/>
              </w:rPr>
            </w:r>
            <w:r>
              <w:rPr>
                <w:sz w:val="23"/>
                <w:szCs w:val="23"/>
                <w:highlight w:val="white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:highlight w:val="white"/>
                <w14:ligatures w14:val="none"/>
              </w:rPr>
            </w:pPr>
            <w:r>
              <w:rPr>
                <w:sz w:val="23"/>
                <w:szCs w:val="23"/>
                <w:highlight w:val="white"/>
              </w:rPr>
              <w:t xml:space="preserve">- СП 48.13330.2011. «Свод правил. Организация строительства». Актуализированная редакция СНиП 20-05-2011 (утв. Приказом </w:t>
            </w:r>
            <w:r>
              <w:rPr>
                <w:sz w:val="23"/>
                <w:szCs w:val="23"/>
                <w:highlight w:val="white"/>
              </w:rPr>
              <w:t xml:space="preserve">Минрегиона</w:t>
            </w:r>
            <w:r>
              <w:rPr>
                <w:sz w:val="23"/>
                <w:szCs w:val="23"/>
                <w:highlight w:val="white"/>
              </w:rPr>
              <w:t xml:space="preserve"> РФ от 27.12.2010 г. №781);</w:t>
            </w:r>
            <w:r>
              <w:rPr>
                <w:sz w:val="23"/>
                <w:szCs w:val="23"/>
                <w:highlight w:val="white"/>
                <w14:ligatures w14:val="none"/>
              </w:rPr>
            </w:r>
            <w:r>
              <w:rPr>
                <w:sz w:val="23"/>
                <w:szCs w:val="23"/>
                <w:highlight w:val="white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Приказ от 15 мая 2023г. №344/пр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Министерство строительства и жилищно-коммунального хозяйства Российской</w:t>
              <w:br/>
              <w:t xml:space="preserve">Федераци</w:t>
            </w:r>
            <w:r>
              <w:rPr>
                <w:sz w:val="23"/>
                <w:szCs w:val="23"/>
              </w:rPr>
              <w:t xml:space="preserve"> «</w:t>
            </w:r>
            <w:r>
              <w:rPr>
                <w:sz w:val="23"/>
                <w:szCs w:val="23"/>
              </w:rPr>
              <w:t xml:space="preserve">Об утверждении состава и порядка ведения исполнительной документации</w:t>
              <w:br/>
              <w:t xml:space="preserve">при  строительстве, реконструкции, капитальном ремонте объектов</w:t>
              <w:br/>
              <w:t xml:space="preserve">капитального строительства</w:t>
            </w:r>
            <w:r>
              <w:rPr>
                <w:sz w:val="23"/>
                <w:szCs w:val="23"/>
              </w:rPr>
              <w:t xml:space="preserve">»</w:t>
            </w:r>
            <w:r>
              <w:rPr>
                <w:sz w:val="23"/>
                <w:szCs w:val="23"/>
              </w:rPr>
              <w:t xml:space="preserve">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СП 45.13330.2017</w:t>
            </w:r>
            <w:r>
              <w:rPr>
                <w:sz w:val="23"/>
                <w:szCs w:val="23"/>
              </w:rPr>
              <w:t xml:space="preserve"> «Земляные сооружения, основания и фундаменты» (актуализированная редакция СНиП 3.02.01-87);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СП 70.13330.2012 «Несущие ограждения и конструкции» (актуализированная редакция СНиП 3.03.01-87);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СП 72.13330.2016 «Защита строительных конструкций и сооружений от коррозии» (СНиП 3.04.03-85  в актуализированной редакции утвержденной 17.06.2017);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СП 71.13330.2017 «Изоляция и отделочные покрытия» (СНиП 3-04-01-87 в актуализированной редакции утвержденной 28.08.2017);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РД 03-614-03 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объектов»;</w:t>
            </w: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jc w:val="both"/>
              <w:rPr>
                <w:sz w:val="23"/>
                <w:szCs w:val="23"/>
                <w14:ligatures w14:val="none"/>
              </w:rPr>
            </w:pPr>
            <w:r>
              <w:rPr>
                <w:sz w:val="23"/>
                <w:szCs w:val="23"/>
              </w:rPr>
              <w:t xml:space="preserve">- СО34.03.201-97 (РД 34.03.201-97) Правила техники безопасности при эксплуатации тепломеханического оборудования электростанций и тепловых сетей;</w:t>
            </w:r>
            <w:r>
              <w:rPr>
                <w:sz w:val="23"/>
                <w:szCs w:val="23"/>
                <w14:ligatures w14:val="none"/>
              </w:rPr>
            </w:r>
            <w:r>
              <w:rPr>
                <w:sz w:val="23"/>
                <w:szCs w:val="23"/>
                <w14:ligatures w14:val="none"/>
              </w:rPr>
            </w:r>
          </w:p>
          <w:p>
            <w:pPr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highlight w:val="yellow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highlight w:val="yellow"/>
                <w14:ligatures w14:val="none"/>
              </w:rPr>
            </w:r>
            <w:r>
              <w:rPr>
                <w:sz w:val="23"/>
                <w:szCs w:val="23"/>
              </w:rPr>
              <w:t xml:space="preserve">-Положение о допуске персонала подрядных организаций к выполнению работ на объектах АО «ДГК»» </w:t>
            </w:r>
            <w:r>
              <w:rPr>
                <w:sz w:val="23"/>
                <w:szCs w:val="23"/>
              </w:rPr>
              <w:t xml:space="preserve">22.1-504-202</w:t>
            </w:r>
            <w:r>
              <w:rPr>
                <w:sz w:val="23"/>
                <w:szCs w:val="23"/>
                <w:lang w:val="en-US"/>
              </w:rPr>
              <w:t xml:space="preserve">5</w:t>
            </w:r>
            <w:r>
              <w:rPr>
                <w:sz w:val="23"/>
                <w:szCs w:val="23"/>
              </w:rPr>
              <w:t xml:space="preserve"> (утв. Приказом от 25.09.2025 №П-ДГК/795) (Приложение № 6 к настоящим ТТ).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highlight w:val="yellow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highlight w:val="yellow"/>
                <w14:ligatures w14:val="none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1058"/>
        </w:trPr>
        <w:tc>
          <w:tcPr>
            <w:tcW w:w="82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4.1.1.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Ответственности и гарантиям Подрядчика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ответственности Подрядчика подробно указаны в Проекте договора подряда </w:t>
            </w:r>
            <w:r>
              <w:rPr>
                <w:i/>
                <w:sz w:val="23"/>
                <w:szCs w:val="23"/>
              </w:rPr>
              <w:t xml:space="preserve">(раздел 7) </w:t>
            </w:r>
            <w:r>
              <w:rPr>
                <w:sz w:val="23"/>
                <w:szCs w:val="23"/>
                <w:lang w:eastAsia="en-US"/>
              </w:rPr>
              <w:t xml:space="preserve">(Приложение №2 к Документации о закупке).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textDirection w:val="lrTb"/>
            <w:noWrap w:val="false"/>
          </w:tcPr>
          <w:p>
            <w:pPr>
              <w:pStyle w:val="9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tcW w:w="82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5.1.1.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ind w:left="568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Обязательства Подрядчика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обязательствам Подрядчика подробно указаны в Проекте договора подряда (</w:t>
            </w:r>
            <w:r>
              <w:rPr>
                <w:i/>
                <w:sz w:val="23"/>
                <w:szCs w:val="23"/>
              </w:rPr>
              <w:t xml:space="preserve">раздел 2) </w:t>
            </w:r>
            <w:r>
              <w:rPr>
                <w:sz w:val="23"/>
                <w:szCs w:val="23"/>
                <w:lang w:eastAsia="en-US"/>
              </w:rPr>
              <w:t xml:space="preserve">(Приложение №2 к Документации о закупке). </w:t>
            </w:r>
            <w:r>
              <w:rPr>
                <w:i/>
                <w:sz w:val="23"/>
                <w:szCs w:val="23"/>
              </w:rPr>
            </w:r>
            <w:r>
              <w:rPr>
                <w:i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tcW w:w="82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5.1.2.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Порядок привлечения субподрядчиков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В случае привлечения к выполнению работ субподрядных организаций, Подрядчик обязан письменно согласовать с Заказчиком привлекаемую субподрядную организацию с предоставлением Заказчику на момент согласования договора субподряда документов, подтверждающие с</w:t>
            </w:r>
            <w:r>
              <w:rPr>
                <w:iCs/>
                <w:sz w:val="23"/>
                <w:szCs w:val="23"/>
              </w:rPr>
              <w:t xml:space="preserve">оответствие их квалификационного уровня, а также готовность и возможность выполнения ими работ, а также документы указанные в п.  2.4.2 Проекта договора подряда </w:t>
            </w:r>
            <w:r>
              <w:rPr>
                <w:sz w:val="23"/>
                <w:szCs w:val="23"/>
                <w:lang w:eastAsia="en-US"/>
              </w:rPr>
              <w:t xml:space="preserve">(Приложение №2 к Документации о закупке).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tcW w:w="8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gridSpan w:val="3"/>
            <w:tcW w:w="8506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Прочие требования к выполняемым работам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82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gridSpan w:val="2"/>
            <w:tcW w:w="382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Прочие требования к выполняемым работам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случае если какой-либо из указанных в настоящих ТТ и договоре подряда ГОСТ или нормативный документ был отменен в связи с выпуском новой редакции стандарта, то Подрядчику необходимо применять ГОСТ или нормативный д</w:t>
            </w:r>
            <w:r>
              <w:rPr>
                <w:sz w:val="23"/>
                <w:szCs w:val="23"/>
              </w:rPr>
              <w:t xml:space="preserve">окумент, принятый в его развитие.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center"/>
        <w:rPr>
          <w:b/>
          <w:i/>
          <w:sz w:val="23"/>
          <w:szCs w:val="23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3"/>
          <w:szCs w:val="23"/>
        </w:rPr>
      </w:r>
      <w:r>
        <w:rPr>
          <w:b/>
          <w:i/>
          <w:sz w:val="23"/>
          <w:szCs w:val="23"/>
        </w:rPr>
      </w:r>
      <w:r>
        <w:rPr>
          <w:b/>
          <w:i/>
          <w:sz w:val="23"/>
          <w:szCs w:val="23"/>
        </w:rPr>
      </w:r>
    </w:p>
    <w:p>
      <w:pPr>
        <w:pStyle w:val="731"/>
        <w:ind w:left="0" w:firstLine="0"/>
        <w:jc w:val="center"/>
      </w:pPr>
      <w:r/>
      <w:bookmarkStart w:id="26" w:name="_Toc53393312"/>
      <w:r/>
      <w:bookmarkStart w:id="27" w:name="_Toc54646411"/>
      <w:r/>
      <w:bookmarkStart w:id="28" w:name="_Toc46743519"/>
      <w:r/>
      <w:bookmarkStart w:id="29" w:name="_Toc51339699"/>
      <w:r>
        <w:t xml:space="preserve">Требования к документации по ценообразованию</w:t>
      </w:r>
      <w:bookmarkEnd w:id="26"/>
      <w:r>
        <w:t xml:space="preserve"> на этапе закупки</w:t>
      </w:r>
      <w:bookmarkEnd w:id="27"/>
      <w:r/>
      <w:r/>
    </w:p>
    <w:p>
      <w:pPr>
        <w:ind w:firstLine="567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 xml:space="preserve">3.1). </w:t>
      </w:r>
      <w:r>
        <w:rPr>
          <w:sz w:val="23"/>
          <w:szCs w:val="23"/>
        </w:rPr>
        <w:t xml:space="preserve">В обоснование стоимости своей заявки Участник предоставляет К</w:t>
      </w:r>
      <w:r>
        <w:rPr>
          <w:sz w:val="23"/>
          <w:szCs w:val="23"/>
        </w:rPr>
        <w:t xml:space="preserve">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коэффициента. Размер данного коэффициента рекомендуется учитывать с округлением до 7 знаков после запятой)</w:t>
      </w:r>
      <w:r>
        <w:rPr>
          <w:iCs/>
          <w:sz w:val="23"/>
          <w:szCs w:val="23"/>
        </w:rPr>
        <w:t xml:space="preserve">.</w:t>
      </w: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ind w:firstLine="567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ind w:firstLine="567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</w:r>
      <w:r>
        <w:rPr>
          <w:rFonts w:eastAsia="Calibri"/>
          <w:sz w:val="23"/>
          <w:szCs w:val="23"/>
        </w:rPr>
      </w:r>
      <w:r>
        <w:rPr>
          <w:rFonts w:eastAsia="Calibri"/>
          <w:sz w:val="23"/>
          <w:szCs w:val="23"/>
        </w:rPr>
      </w:r>
    </w:p>
    <w:p>
      <w:pPr>
        <w:rPr>
          <w:rFonts w:eastAsia="Calibri"/>
          <w:b/>
          <w:iCs/>
          <w:sz w:val="23"/>
          <w:szCs w:val="23"/>
        </w:rPr>
      </w:pPr>
      <w:r>
        <w:rPr>
          <w:iCs/>
          <w:sz w:val="23"/>
          <w:szCs w:val="23"/>
        </w:rPr>
        <w:br w:type="page" w:clear="all"/>
      </w:r>
      <w:r>
        <w:rPr>
          <w:rFonts w:eastAsia="Calibri"/>
          <w:b/>
          <w:iCs/>
          <w:sz w:val="23"/>
          <w:szCs w:val="23"/>
        </w:rPr>
      </w:r>
      <w:r>
        <w:rPr>
          <w:rFonts w:eastAsia="Calibri"/>
          <w:b/>
          <w:iCs/>
          <w:sz w:val="23"/>
          <w:szCs w:val="23"/>
        </w:rPr>
      </w:r>
    </w:p>
    <w:p>
      <w:pPr>
        <w:pStyle w:val="731"/>
        <w:ind w:left="0" w:firstLine="0"/>
        <w:jc w:val="center"/>
      </w:pPr>
      <w:r/>
      <w:bookmarkStart w:id="30" w:name="_Toc54646412"/>
      <w:r>
        <w:t xml:space="preserve">Требования к документации по ценообразованию на этапе заключения (исполнения) договора</w:t>
      </w:r>
      <w:bookmarkEnd w:id="30"/>
      <w:r/>
      <w:r/>
    </w:p>
    <w:p>
      <w:pPr>
        <w:ind w:firstLine="567"/>
        <w:jc w:val="both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 xml:space="preserve">4.1. Требования к составлению сметной документац</w:t>
      </w:r>
      <w:r>
        <w:rPr>
          <w:sz w:val="23"/>
          <w:szCs w:val="23"/>
          <w:u w:val="single"/>
        </w:rPr>
        <w:t xml:space="preserve">ии (при заключении договора):</w:t>
      </w:r>
      <w:r>
        <w:rPr>
          <w:sz w:val="23"/>
          <w:szCs w:val="23"/>
          <w:u w:val="single"/>
        </w:rPr>
      </w:r>
      <w:r>
        <w:rPr>
          <w:sz w:val="23"/>
          <w:szCs w:val="23"/>
          <w:u w:val="single"/>
        </w:rPr>
      </w:r>
    </w:p>
    <w:p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4.1.1.</w:t>
      </w:r>
      <w:r>
        <w:rPr>
          <w:sz w:val="23"/>
          <w:szCs w:val="23"/>
        </w:rPr>
        <w:tab/>
        <w:t xml:space="preserve">Сметная документация приложение №4 к настоящим ТТ разработана Заказчиком в рамках определения начальной (максимальной) цены договора в соответствии с требованиями, указанными в приложении №4 к настоящим ТТ, и включается</w:t>
      </w:r>
      <w:r>
        <w:rPr>
          <w:sz w:val="23"/>
          <w:szCs w:val="23"/>
        </w:rPr>
        <w:t xml:space="preserve">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после начисления лимитированных затрат в с</w:t>
      </w:r>
      <w:r>
        <w:rPr>
          <w:sz w:val="23"/>
          <w:szCs w:val="23"/>
        </w:rPr>
        <w:t xml:space="preserve">лучае составления одной сметы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4.1.2.</w:t>
      </w:r>
      <w:r>
        <w:rPr>
          <w:sz w:val="23"/>
          <w:szCs w:val="23"/>
        </w:rPr>
        <w:tab/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rPr>
          <w:sz w:val="23"/>
          <w:szCs w:val="23"/>
          <w:u w:val="single"/>
        </w:rPr>
      </w:pPr>
      <w:r>
        <w:rPr>
          <w:sz w:val="23"/>
          <w:szCs w:val="23"/>
        </w:rPr>
        <w:t xml:space="preserve">4.1.3.</w:t>
      </w:r>
      <w:r>
        <w:rPr>
          <w:sz w:val="23"/>
          <w:szCs w:val="23"/>
        </w:rPr>
        <w:tab/>
        <w:t xml:space="preserve">сметной документации предусмотрен резерв средств на непредвиденные работы и</w:t>
      </w:r>
      <w:r>
        <w:rPr>
          <w:sz w:val="23"/>
          <w:szCs w:val="23"/>
        </w:rPr>
        <w:t xml:space="preserve"> затраты в размере 3%.</w:t>
      </w:r>
      <w:r>
        <w:rPr>
          <w:sz w:val="23"/>
          <w:szCs w:val="23"/>
          <w:u w:val="single"/>
        </w:rPr>
      </w:r>
      <w:r>
        <w:rPr>
          <w:sz w:val="23"/>
          <w:szCs w:val="23"/>
          <w:u w:val="single"/>
        </w:rPr>
      </w:r>
    </w:p>
    <w:p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 xml:space="preserve">4.2.Требования к составлению сметной документации (на этапе исполнения договора):</w:t>
      </w:r>
      <w:r>
        <w:rPr>
          <w:sz w:val="23"/>
          <w:szCs w:val="23"/>
          <w:u w:val="single"/>
        </w:rPr>
      </w:r>
      <w:r>
        <w:rPr>
          <w:sz w:val="23"/>
          <w:szCs w:val="23"/>
          <w:u w:val="single"/>
        </w:rPr>
      </w:r>
    </w:p>
    <w:p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4.2.1.</w:t>
      </w:r>
      <w:r>
        <w:rPr>
          <w:sz w:val="23"/>
          <w:szCs w:val="23"/>
        </w:rPr>
        <w:tab/>
        <w:t xml:space="preserve">В случае возникновения непредвиденных расходов в рамках реализации договора подряда необходимо составлять и оформлять сметную документацию в</w:t>
      </w:r>
      <w:r>
        <w:rPr>
          <w:sz w:val="23"/>
          <w:szCs w:val="23"/>
        </w:rPr>
        <w:t xml:space="preserve"> обоснование данных затрат в соответствии с требованиями, указанными в приложении №4 к настоящим ТТ, с применением понижающего коэффициента, определённого по результатам конкурентной процедуры (п. 4.1.1).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4.2.2. Заключение дополнительного соглашения на уве</w:t>
      </w:r>
      <w:r>
        <w:rPr>
          <w:sz w:val="23"/>
          <w:szCs w:val="23"/>
        </w:rPr>
        <w:t xml:space="preserve">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iCs/>
          <w:sz w:val="23"/>
          <w:szCs w:val="23"/>
        </w:rPr>
      </w:pP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rPr>
          <w:rFonts w:eastAsia="Calibri"/>
          <w:b/>
          <w:iCs/>
          <w:sz w:val="23"/>
          <w:szCs w:val="23"/>
        </w:rPr>
      </w:pPr>
      <w:r>
        <w:rPr>
          <w:iCs/>
          <w:sz w:val="23"/>
          <w:szCs w:val="23"/>
        </w:rPr>
        <w:br w:type="page" w:clear="all"/>
      </w:r>
      <w:r>
        <w:rPr>
          <w:rFonts w:eastAsia="Calibri"/>
          <w:b/>
          <w:iCs/>
          <w:sz w:val="23"/>
          <w:szCs w:val="23"/>
        </w:rPr>
      </w:r>
      <w:r>
        <w:rPr>
          <w:rFonts w:eastAsia="Calibri"/>
          <w:b/>
          <w:iCs/>
          <w:sz w:val="23"/>
          <w:szCs w:val="23"/>
        </w:rPr>
      </w:r>
    </w:p>
    <w:p>
      <w:pPr>
        <w:pStyle w:val="731"/>
      </w:pPr>
      <w:r/>
      <w:bookmarkStart w:id="31" w:name="_Toc54646413"/>
      <w:r>
        <w:t xml:space="preserve">Приложения</w:t>
      </w:r>
      <w:bookmarkEnd w:id="28"/>
      <w:r/>
      <w:bookmarkEnd w:id="29"/>
      <w:r/>
      <w:bookmarkEnd w:id="31"/>
      <w:r/>
      <w:r/>
    </w:p>
    <w:p>
      <w:pPr>
        <w:spacing w:after="120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jc w:val="both"/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№1: Ведомость объёмов работ;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/>
        <w:rPr>
          <w:sz w:val="24"/>
          <w:szCs w:val="24"/>
          <w:lang w:val="en-US"/>
        </w:rPr>
      </w:pPr>
      <w:r>
        <w:rPr>
          <w:bCs/>
          <w:sz w:val="24"/>
          <w:szCs w:val="24"/>
        </w:rPr>
        <w:t xml:space="preserve">Приложение №2: Перечень материалов;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№3: Сметная документация;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№4: Требования к оформлению и составлению документации по ценообразованию;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№5: Проектная документация;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97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№6: Положения о допуске персонала подрядных организаций к выполнению работ на объектах АО «ДГК».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97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97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rPr>
          <w:strike/>
          <w:sz w:val="23"/>
          <w:szCs w:val="23"/>
        </w:rPr>
      </w:pPr>
      <w:r>
        <w:rPr>
          <w:strike/>
          <w:sz w:val="23"/>
          <w:szCs w:val="23"/>
        </w:rPr>
      </w:r>
      <w:r>
        <w:rPr>
          <w:strike/>
          <w:sz w:val="23"/>
          <w:szCs w:val="23"/>
        </w:rPr>
      </w:r>
      <w:r>
        <w:rPr>
          <w:strike/>
          <w:sz w:val="23"/>
          <w:szCs w:val="23"/>
        </w:rPr>
      </w:r>
    </w:p>
    <w:p>
      <w:pPr>
        <w:jc w:val="both"/>
        <w:spacing w:after="120"/>
        <w:rPr>
          <w:bCs/>
          <w:i/>
          <w:iCs/>
          <w:strike/>
          <w:sz w:val="23"/>
          <w:szCs w:val="23"/>
          <w:shd w:val="clear" w:color="auto" w:fill="ffff99"/>
        </w:rPr>
      </w:pPr>
      <w:r>
        <w:rPr>
          <w:bCs/>
          <w:i/>
          <w:iCs/>
          <w:strike/>
          <w:sz w:val="23"/>
          <w:szCs w:val="23"/>
          <w:shd w:val="clear" w:color="auto" w:fill="ffff99"/>
        </w:rPr>
      </w:r>
      <w:r>
        <w:rPr>
          <w:bCs/>
          <w:i/>
          <w:iCs/>
          <w:strike/>
          <w:sz w:val="23"/>
          <w:szCs w:val="23"/>
          <w:shd w:val="clear" w:color="auto" w:fill="ffff99"/>
        </w:rPr>
      </w:r>
      <w:r>
        <w:rPr>
          <w:bCs/>
          <w:i/>
          <w:iCs/>
          <w:strike/>
          <w:sz w:val="23"/>
          <w:szCs w:val="23"/>
          <w:shd w:val="clear" w:color="auto" w:fill="ffff99"/>
        </w:rPr>
      </w:r>
    </w:p>
    <w:p>
      <w:pPr>
        <w:jc w:val="both"/>
        <w:spacing w:after="120"/>
        <w:rPr>
          <w:bCs/>
          <w:strike/>
          <w:sz w:val="23"/>
          <w:szCs w:val="23"/>
        </w:rPr>
      </w:pPr>
      <w:r>
        <w:rPr>
          <w:bCs/>
          <w:strike/>
          <w:sz w:val="23"/>
          <w:szCs w:val="23"/>
        </w:rPr>
      </w:r>
      <w:r>
        <w:rPr>
          <w:bCs/>
          <w:strike/>
          <w:sz w:val="23"/>
          <w:szCs w:val="23"/>
        </w:rPr>
      </w:r>
      <w:r>
        <w:rPr>
          <w:bCs/>
          <w:strike/>
          <w:sz w:val="23"/>
          <w:szCs w:val="23"/>
        </w:rPr>
      </w:r>
    </w:p>
    <w:p>
      <w:pPr>
        <w:rPr>
          <w:strike/>
          <w:sz w:val="23"/>
          <w:szCs w:val="23"/>
        </w:rPr>
      </w:pPr>
      <w:r>
        <w:rPr>
          <w:strike/>
          <w:sz w:val="23"/>
          <w:szCs w:val="23"/>
        </w:rPr>
      </w:r>
      <w:r>
        <w:rPr>
          <w:strike/>
          <w:sz w:val="23"/>
          <w:szCs w:val="23"/>
        </w:rPr>
      </w:r>
      <w:r>
        <w:rPr>
          <w:strike/>
          <w:sz w:val="23"/>
          <w:szCs w:val="23"/>
        </w:rPr>
      </w:r>
    </w:p>
    <w:p>
      <w:pPr>
        <w:jc w:val="both"/>
        <w:spacing w:after="120"/>
        <w:rPr>
          <w:bCs/>
          <w:i/>
          <w:iCs/>
          <w:strike/>
          <w:sz w:val="23"/>
          <w:szCs w:val="23"/>
          <w:shd w:val="clear" w:color="auto" w:fill="ffff99"/>
        </w:rPr>
      </w:pPr>
      <w:r>
        <w:rPr>
          <w:bCs/>
          <w:i/>
          <w:iCs/>
          <w:strike/>
          <w:sz w:val="23"/>
          <w:szCs w:val="23"/>
          <w:shd w:val="clear" w:color="auto" w:fill="ffff99"/>
        </w:rPr>
      </w:r>
      <w:r>
        <w:rPr>
          <w:bCs/>
          <w:i/>
          <w:iCs/>
          <w:strike/>
          <w:sz w:val="23"/>
          <w:szCs w:val="23"/>
          <w:shd w:val="clear" w:color="auto" w:fill="ffff99"/>
        </w:rPr>
      </w:r>
      <w:r>
        <w:rPr>
          <w:bCs/>
          <w:i/>
          <w:iCs/>
          <w:strike/>
          <w:sz w:val="23"/>
          <w:szCs w:val="23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8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rPr>
        <w:rStyle w:val="912"/>
      </w:rPr>
      <w:framePr w:wrap="around" w:vAnchor="text" w:hAnchor="margin" w:xAlign="center" w:y="1"/>
    </w:pPr>
    <w:r>
      <w:rPr>
        <w:rStyle w:val="912"/>
      </w:rPr>
      <w:fldChar w:fldCharType="begin"/>
    </w:r>
    <w:r>
      <w:rPr>
        <w:rStyle w:val="912"/>
      </w:rPr>
      <w:instrText xml:space="preserve">PAGE  </w:instrText>
    </w:r>
    <w:r>
      <w:rPr>
        <w:rStyle w:val="912"/>
      </w:rPr>
      <w:fldChar w:fldCharType="separate"/>
    </w:r>
    <w:r>
      <w:rPr>
        <w:rStyle w:val="912"/>
      </w:rPr>
      <w:t xml:space="preserve">6</w:t>
    </w:r>
    <w:r>
      <w:rPr>
        <w:rStyle w:val="912"/>
      </w:rPr>
      <w:fldChar w:fldCharType="end"/>
    </w:r>
    <w:r>
      <w:rPr>
        <w:rStyle w:val="912"/>
      </w:rPr>
    </w:r>
    <w:r>
      <w:rPr>
        <w:rStyle w:val="912"/>
      </w:rPr>
    </w:r>
  </w:p>
  <w:p>
    <w:pPr>
      <w:pStyle w:val="9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jc w:val="center"/>
    </w:pPr>
    <w:r/>
    <w:r/>
  </w:p>
  <w:p>
    <w:pPr>
      <w:pStyle w:val="90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8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0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2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4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6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8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0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2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43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">
    <w:multiLevelType w:val="hybridMultilevel"/>
    <w:lvl w:ilvl="0">
      <w:start w:val="1"/>
      <w:numFmt w:val="decimal"/>
      <w:pStyle w:val="8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pStyle w:val="73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3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33"/>
      <w:isLgl w:val="false"/>
      <w:suff w:val="tab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styleLink w:val="969"/>
    <w:lvl w:ilvl="0">
      <w:start w:val="3"/>
      <w:numFmt w:val="decimal"/>
      <w:pStyle w:val="96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styleLink w:val="973"/>
    <w:lvl w:ilvl="0">
      <w:start w:val="1"/>
      <w:numFmt w:val="decimal"/>
      <w:pStyle w:val="97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9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4"/>
      <w:numFmt w:val="bullet"/>
      <w:pStyle w:val="96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 w:default="1">
    <w:name w:val="Normal"/>
    <w:qFormat/>
    <w:rPr>
      <w:sz w:val="28"/>
      <w:szCs w:val="28"/>
    </w:rPr>
  </w:style>
  <w:style w:type="paragraph" w:styleId="731">
    <w:name w:val="Heading 1"/>
    <w:basedOn w:val="733"/>
    <w:next w:val="730"/>
    <w:link w:val="932"/>
    <w:qFormat/>
    <w:pPr>
      <w:numPr>
        <w:ilvl w:val="0"/>
      </w:numPr>
      <w:outlineLvl w:val="0"/>
    </w:pPr>
    <w:rPr>
      <w:sz w:val="28"/>
      <w:szCs w:val="28"/>
    </w:rPr>
  </w:style>
  <w:style w:type="paragraph" w:styleId="732">
    <w:name w:val="Heading 2"/>
    <w:basedOn w:val="734"/>
    <w:next w:val="730"/>
    <w:link w:val="934"/>
    <w:qFormat/>
    <w:pPr>
      <w:outlineLvl w:val="1"/>
    </w:pPr>
  </w:style>
  <w:style w:type="paragraph" w:styleId="733">
    <w:name w:val="Heading 3"/>
    <w:basedOn w:val="730"/>
    <w:next w:val="730"/>
    <w:link w:val="935"/>
    <w:qFormat/>
    <w:pPr>
      <w:numPr>
        <w:ilvl w:val="2"/>
        <w:numId w:val="4"/>
      </w:numPr>
      <w:ind w:hanging="788"/>
      <w:keepNext/>
      <w:spacing w:before="120" w:after="60"/>
      <w:outlineLvl w:val="2"/>
    </w:pPr>
    <w:rPr>
      <w:rFonts w:eastAsia="Calibri"/>
      <w:b/>
      <w:sz w:val="23"/>
      <w:szCs w:val="23"/>
    </w:rPr>
  </w:style>
  <w:style w:type="paragraph" w:styleId="734">
    <w:name w:val="Heading 4"/>
    <w:basedOn w:val="733"/>
    <w:next w:val="730"/>
    <w:link w:val="936"/>
    <w:qFormat/>
    <w:pPr>
      <w:numPr>
        <w:ilvl w:val="1"/>
      </w:numPr>
      <w:outlineLvl w:val="3"/>
    </w:pPr>
    <w:rPr>
      <w:bCs/>
    </w:rPr>
  </w:style>
  <w:style w:type="paragraph" w:styleId="735">
    <w:name w:val="Heading 5"/>
    <w:basedOn w:val="730"/>
    <w:next w:val="730"/>
    <w:link w:val="93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36">
    <w:name w:val="Heading 6"/>
    <w:basedOn w:val="730"/>
    <w:next w:val="730"/>
    <w:link w:val="92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37">
    <w:name w:val="Heading 7"/>
    <w:basedOn w:val="730"/>
    <w:next w:val="730"/>
    <w:link w:val="93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38">
    <w:name w:val="Heading 8"/>
    <w:basedOn w:val="730"/>
    <w:next w:val="730"/>
    <w:link w:val="93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39">
    <w:name w:val="Heading 9"/>
    <w:basedOn w:val="730"/>
    <w:next w:val="730"/>
    <w:link w:val="93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40" w:default="1">
    <w:name w:val="Default Paragraph Font"/>
    <w:uiPriority w:val="1"/>
    <w:semiHidden/>
    <w:unhideWhenUsed/>
  </w:style>
  <w:style w:type="table" w:styleId="7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2" w:default="1">
    <w:name w:val="No List"/>
    <w:uiPriority w:val="99"/>
    <w:semiHidden/>
    <w:unhideWhenUsed/>
  </w:style>
  <w:style w:type="character" w:styleId="743" w:customStyle="1">
    <w:name w:val="Caption Char"/>
    <w:basedOn w:val="740"/>
    <w:uiPriority w:val="35"/>
    <w:rPr>
      <w:b/>
      <w:bCs/>
      <w:color w:val="4472c4" w:themeColor="accent1"/>
      <w:sz w:val="18"/>
      <w:szCs w:val="18"/>
    </w:rPr>
  </w:style>
  <w:style w:type="character" w:styleId="744" w:customStyle="1">
    <w:name w:val="Title Char"/>
    <w:basedOn w:val="740"/>
    <w:uiPriority w:val="10"/>
    <w:rPr>
      <w:sz w:val="48"/>
      <w:szCs w:val="48"/>
    </w:rPr>
  </w:style>
  <w:style w:type="character" w:styleId="745" w:customStyle="1">
    <w:name w:val="Название объекта Знак"/>
    <w:link w:val="940"/>
    <w:uiPriority w:val="99"/>
  </w:style>
  <w:style w:type="character" w:styleId="746" w:customStyle="1">
    <w:name w:val="Heading 1 Char"/>
    <w:basedOn w:val="740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Heading 2 Char"/>
    <w:basedOn w:val="740"/>
    <w:uiPriority w:val="9"/>
    <w:rPr>
      <w:rFonts w:ascii="Arial" w:hAnsi="Arial" w:eastAsia="Arial" w:cs="Arial"/>
      <w:sz w:val="34"/>
    </w:rPr>
  </w:style>
  <w:style w:type="character" w:styleId="748" w:customStyle="1">
    <w:name w:val="Heading 3 Char"/>
    <w:basedOn w:val="740"/>
    <w:uiPriority w:val="9"/>
    <w:rPr>
      <w:rFonts w:ascii="Arial" w:hAnsi="Arial" w:eastAsia="Arial" w:cs="Arial"/>
      <w:sz w:val="30"/>
      <w:szCs w:val="30"/>
    </w:rPr>
  </w:style>
  <w:style w:type="character" w:styleId="749" w:customStyle="1">
    <w:name w:val="Heading 4 Char"/>
    <w:basedOn w:val="740"/>
    <w:uiPriority w:val="9"/>
    <w:rPr>
      <w:rFonts w:ascii="Arial" w:hAnsi="Arial" w:eastAsia="Arial" w:cs="Arial"/>
      <w:b/>
      <w:bCs/>
      <w:sz w:val="26"/>
      <w:szCs w:val="26"/>
    </w:rPr>
  </w:style>
  <w:style w:type="character" w:styleId="750" w:customStyle="1">
    <w:name w:val="Heading 5 Char"/>
    <w:basedOn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Heading 6 Char"/>
    <w:basedOn w:val="740"/>
    <w:uiPriority w:val="9"/>
    <w:rPr>
      <w:rFonts w:ascii="Arial" w:hAnsi="Arial" w:eastAsia="Arial" w:cs="Arial"/>
      <w:b/>
      <w:bCs/>
      <w:sz w:val="22"/>
      <w:szCs w:val="22"/>
    </w:rPr>
  </w:style>
  <w:style w:type="character" w:styleId="752" w:customStyle="1">
    <w:name w:val="Heading 7 Char"/>
    <w:basedOn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 w:customStyle="1">
    <w:name w:val="Heading 8 Char"/>
    <w:basedOn w:val="740"/>
    <w:uiPriority w:val="9"/>
    <w:rPr>
      <w:rFonts w:ascii="Arial" w:hAnsi="Arial" w:eastAsia="Arial" w:cs="Arial"/>
      <w:i/>
      <w:iCs/>
      <w:sz w:val="22"/>
      <w:szCs w:val="22"/>
    </w:rPr>
  </w:style>
  <w:style w:type="character" w:styleId="754" w:customStyle="1">
    <w:name w:val="Heading 9 Char"/>
    <w:basedOn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55">
    <w:name w:val="Title"/>
    <w:basedOn w:val="730"/>
    <w:next w:val="730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 w:customStyle="1">
    <w:name w:val="Заголовок Знак"/>
    <w:basedOn w:val="740"/>
    <w:link w:val="755"/>
    <w:uiPriority w:val="10"/>
    <w:rPr>
      <w:sz w:val="48"/>
      <w:szCs w:val="48"/>
    </w:rPr>
  </w:style>
  <w:style w:type="character" w:styleId="757" w:customStyle="1">
    <w:name w:val="Subtitle Char"/>
    <w:basedOn w:val="740"/>
    <w:uiPriority w:val="11"/>
    <w:rPr>
      <w:sz w:val="24"/>
      <w:szCs w:val="24"/>
    </w:rPr>
  </w:style>
  <w:style w:type="character" w:styleId="758" w:customStyle="1">
    <w:name w:val="Quote Char"/>
    <w:uiPriority w:val="29"/>
    <w:rPr>
      <w:i/>
    </w:rPr>
  </w:style>
  <w:style w:type="character" w:styleId="759" w:customStyle="1">
    <w:name w:val="Intense Quote Char"/>
    <w:uiPriority w:val="30"/>
    <w:rPr>
      <w:i/>
    </w:rPr>
  </w:style>
  <w:style w:type="character" w:styleId="760" w:customStyle="1">
    <w:name w:val="Header Char"/>
    <w:basedOn w:val="740"/>
    <w:uiPriority w:val="99"/>
  </w:style>
  <w:style w:type="character" w:styleId="761" w:customStyle="1">
    <w:name w:val="Footer Char"/>
    <w:basedOn w:val="740"/>
    <w:uiPriority w:val="99"/>
  </w:style>
  <w:style w:type="character" w:styleId="762" w:customStyle="1">
    <w:name w:val="Нижний колонтитул Знак"/>
    <w:link w:val="903"/>
    <w:uiPriority w:val="99"/>
  </w:style>
  <w:style w:type="table" w:styleId="763" w:customStyle="1">
    <w:name w:val="Table Grid Light"/>
    <w:basedOn w:val="74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4">
    <w:name w:val="Plain Table 1"/>
    <w:basedOn w:val="74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basedOn w:val="74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basedOn w:val="7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basedOn w:val="7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basedOn w:val="7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basedOn w:val="74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4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4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4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4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4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4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2"/>
    <w:basedOn w:val="74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4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4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4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4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4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4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"/>
    <w:basedOn w:val="74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4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4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4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4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4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4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basedOn w:val="74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4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2" w:customStyle="1">
    <w:name w:val="Grid Table 4 - Accent 2"/>
    <w:basedOn w:val="74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3" w:customStyle="1">
    <w:name w:val="Grid Table 4 - Accent 3"/>
    <w:basedOn w:val="74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4" w:customStyle="1">
    <w:name w:val="Grid Table 4 - Accent 4"/>
    <w:basedOn w:val="74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5" w:customStyle="1">
    <w:name w:val="Grid Table 4 - Accent 5"/>
    <w:basedOn w:val="74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96" w:customStyle="1">
    <w:name w:val="Grid Table 4 - Accent 6"/>
    <w:basedOn w:val="74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7">
    <w:name w:val="Grid Table 5 Dark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4">
    <w:name w:val="Grid Table 6 Colorful"/>
    <w:basedOn w:val="74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4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06" w:customStyle="1">
    <w:name w:val="Grid Table 6 Colorful - Accent 2"/>
    <w:basedOn w:val="74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7" w:customStyle="1">
    <w:name w:val="Grid Table 6 Colorful - Accent 3"/>
    <w:basedOn w:val="74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8" w:customStyle="1">
    <w:name w:val="Grid Table 6 Colorful - Accent 4"/>
    <w:basedOn w:val="74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9" w:customStyle="1">
    <w:name w:val="Grid Table 6 Colorful - Accent 5"/>
    <w:basedOn w:val="74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0" w:customStyle="1">
    <w:name w:val="Grid Table 6 Colorful - Accent 6"/>
    <w:basedOn w:val="74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1">
    <w:name w:val="Grid Table 7 Colorful"/>
    <w:basedOn w:val="74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1"/>
    <w:basedOn w:val="74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2"/>
    <w:basedOn w:val="74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3"/>
    <w:basedOn w:val="74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4"/>
    <w:basedOn w:val="74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5"/>
    <w:basedOn w:val="74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6"/>
    <w:basedOn w:val="74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"/>
    <w:basedOn w:val="74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4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4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4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4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4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4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2"/>
    <w:basedOn w:val="74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4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4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4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4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4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4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2">
    <w:name w:val="List Table 3"/>
    <w:basedOn w:val="7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4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4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4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4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4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4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"/>
    <w:basedOn w:val="7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4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4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4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4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4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4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5 Dark"/>
    <w:basedOn w:val="74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4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4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4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4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4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4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>
    <w:name w:val="List Table 6 Colorful"/>
    <w:basedOn w:val="74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4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55" w:customStyle="1">
    <w:name w:val="List Table 6 Colorful - Accent 2"/>
    <w:basedOn w:val="74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6" w:customStyle="1">
    <w:name w:val="List Table 6 Colorful - Accent 3"/>
    <w:basedOn w:val="74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7" w:customStyle="1">
    <w:name w:val="List Table 6 Colorful - Accent 4"/>
    <w:basedOn w:val="74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8" w:customStyle="1">
    <w:name w:val="List Table 6 Colorful - Accent 5"/>
    <w:basedOn w:val="74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59" w:customStyle="1">
    <w:name w:val="List Table 6 Colorful - Accent 6"/>
    <w:basedOn w:val="74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0">
    <w:name w:val="List Table 7 Colorful"/>
    <w:basedOn w:val="74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1"/>
    <w:basedOn w:val="74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2"/>
    <w:basedOn w:val="74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3"/>
    <w:basedOn w:val="74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4"/>
    <w:basedOn w:val="74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5"/>
    <w:basedOn w:val="74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6"/>
    <w:basedOn w:val="74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ned - Accent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69" w:customStyle="1">
    <w:name w:val="Lined - Accent 2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0" w:customStyle="1">
    <w:name w:val="Lined - Accent 3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1" w:customStyle="1">
    <w:name w:val="Lined - Accent 4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2" w:customStyle="1">
    <w:name w:val="Lined - Accent 5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73" w:customStyle="1">
    <w:name w:val="Lined - Accent 6"/>
    <w:basedOn w:val="7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4" w:customStyle="1">
    <w:name w:val="Bordered &amp; Lined - Accent"/>
    <w:basedOn w:val="74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4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Bordered &amp; Lined - Accent 2"/>
    <w:basedOn w:val="74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Bordered &amp; Lined - Accent 3"/>
    <w:basedOn w:val="74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Bordered &amp; Lined - Accent 4"/>
    <w:basedOn w:val="74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Bordered &amp; Lined - Accent 5"/>
    <w:basedOn w:val="74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Bordered &amp; Lined - Accent 6"/>
    <w:basedOn w:val="74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"/>
    <w:basedOn w:val="74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4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83" w:customStyle="1">
    <w:name w:val="Bordered - Accent 2"/>
    <w:basedOn w:val="74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4" w:customStyle="1">
    <w:name w:val="Bordered - Accent 3"/>
    <w:basedOn w:val="74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5" w:customStyle="1">
    <w:name w:val="Bordered - Accent 4"/>
    <w:basedOn w:val="74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6" w:customStyle="1">
    <w:name w:val="Bordered - Accent 5"/>
    <w:basedOn w:val="74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87" w:customStyle="1">
    <w:name w:val="Bordered - Accent 6"/>
    <w:basedOn w:val="74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8" w:customStyle="1">
    <w:name w:val="Footnote Text Char"/>
    <w:uiPriority w:val="99"/>
    <w:rPr>
      <w:sz w:val="18"/>
    </w:rPr>
  </w:style>
  <w:style w:type="character" w:styleId="889" w:customStyle="1">
    <w:name w:val="Endnote Text Char"/>
    <w:uiPriority w:val="99"/>
    <w:rPr>
      <w:sz w:val="20"/>
    </w:rPr>
  </w:style>
  <w:style w:type="paragraph" w:styleId="890">
    <w:name w:val="table of figures"/>
    <w:basedOn w:val="730"/>
    <w:next w:val="730"/>
    <w:uiPriority w:val="99"/>
    <w:unhideWhenUsed/>
  </w:style>
  <w:style w:type="paragraph" w:styleId="891" w:customStyle="1">
    <w:name w:val="Название раздела инструкции"/>
    <w:basedOn w:val="730"/>
    <w:pPr>
      <w:jc w:val="center"/>
    </w:pPr>
    <w:rPr>
      <w:b/>
    </w:rPr>
  </w:style>
  <w:style w:type="paragraph" w:styleId="892" w:customStyle="1">
    <w:name w:val="Раздел положения"/>
    <w:basedOn w:val="73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3" w:customStyle="1">
    <w:name w:val="Подраздел раздела положения"/>
    <w:basedOn w:val="730"/>
    <w:pPr>
      <w:numPr>
        <w:ilvl w:val="1"/>
        <w:numId w:val="1"/>
      </w:numPr>
      <w:jc w:val="both"/>
      <w:spacing w:before="80" w:after="80"/>
    </w:pPr>
  </w:style>
  <w:style w:type="paragraph" w:styleId="894">
    <w:name w:val="footnote text"/>
    <w:basedOn w:val="730"/>
    <w:link w:val="968"/>
    <w:uiPriority w:val="99"/>
    <w:rPr>
      <w:sz w:val="20"/>
      <w:szCs w:val="20"/>
    </w:rPr>
  </w:style>
  <w:style w:type="character" w:styleId="895">
    <w:name w:val="footnote reference"/>
    <w:rPr>
      <w:vertAlign w:val="superscript"/>
    </w:rPr>
  </w:style>
  <w:style w:type="paragraph" w:styleId="896" w:customStyle="1">
    <w:name w:val="Шапка 1"/>
    <w:basedOn w:val="73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7" w:customStyle="1">
    <w:name w:val="Шапка 2"/>
    <w:basedOn w:val="73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8" w:customStyle="1">
    <w:name w:val="Шапка 3"/>
    <w:basedOn w:val="73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9" w:customStyle="1">
    <w:name w:val="Название1"/>
    <w:basedOn w:val="730"/>
    <w:link w:val="941"/>
    <w:uiPriority w:val="10"/>
    <w:qFormat/>
    <w:pPr>
      <w:jc w:val="center"/>
    </w:pPr>
    <w:rPr>
      <w:szCs w:val="20"/>
    </w:rPr>
  </w:style>
  <w:style w:type="paragraph" w:styleId="900">
    <w:name w:val="Header"/>
    <w:basedOn w:val="730"/>
    <w:link w:val="985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1">
    <w:name w:val="Body Text Indent"/>
    <w:basedOn w:val="730"/>
    <w:pPr>
      <w:ind w:left="360"/>
    </w:pPr>
    <w:rPr>
      <w:sz w:val="24"/>
      <w:szCs w:val="24"/>
    </w:rPr>
  </w:style>
  <w:style w:type="table" w:styleId="902">
    <w:name w:val="Table Grid"/>
    <w:basedOn w:val="74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3">
    <w:name w:val="Footer"/>
    <w:basedOn w:val="730"/>
    <w:link w:val="762"/>
    <w:pPr>
      <w:tabs>
        <w:tab w:val="center" w:pos="4677" w:leader="none"/>
        <w:tab w:val="right" w:pos="9355" w:leader="none"/>
      </w:tabs>
    </w:pPr>
  </w:style>
  <w:style w:type="paragraph" w:styleId="904">
    <w:name w:val="Body Text"/>
    <w:basedOn w:val="730"/>
    <w:link w:val="971"/>
    <w:pPr>
      <w:spacing w:after="120"/>
    </w:pPr>
  </w:style>
  <w:style w:type="paragraph" w:styleId="905">
    <w:name w:val="Body Text Indent 2"/>
    <w:basedOn w:val="730"/>
    <w:pPr>
      <w:ind w:left="283"/>
      <w:spacing w:after="120" w:line="480" w:lineRule="auto"/>
    </w:pPr>
  </w:style>
  <w:style w:type="paragraph" w:styleId="906">
    <w:name w:val="Body Text 3"/>
    <w:basedOn w:val="730"/>
    <w:pPr>
      <w:spacing w:after="120"/>
    </w:pPr>
    <w:rPr>
      <w:sz w:val="16"/>
      <w:szCs w:val="16"/>
    </w:rPr>
  </w:style>
  <w:style w:type="paragraph" w:styleId="907">
    <w:name w:val="Body Text Indent 3"/>
    <w:basedOn w:val="730"/>
    <w:link w:val="1002"/>
    <w:pPr>
      <w:ind w:left="283"/>
      <w:spacing w:after="120"/>
    </w:pPr>
    <w:rPr>
      <w:sz w:val="16"/>
      <w:szCs w:val="16"/>
    </w:rPr>
  </w:style>
  <w:style w:type="paragraph" w:styleId="908">
    <w:name w:val="Body Text 2"/>
    <w:basedOn w:val="730"/>
    <w:pPr>
      <w:spacing w:after="120" w:line="480" w:lineRule="auto"/>
    </w:pPr>
  </w:style>
  <w:style w:type="paragraph" w:styleId="909">
    <w:name w:val="Block Text"/>
    <w:basedOn w:val="730"/>
    <w:pPr>
      <w:ind w:left="-567" w:right="-766"/>
      <w:jc w:val="center"/>
    </w:pPr>
    <w:rPr>
      <w:b/>
      <w:bCs/>
      <w:sz w:val="24"/>
      <w:szCs w:val="20"/>
    </w:rPr>
  </w:style>
  <w:style w:type="paragraph" w:styleId="910" w:customStyle="1">
    <w:name w:val="Подпункт"/>
    <w:basedOn w:val="730"/>
    <w:link w:val="96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1" w:customStyle="1">
    <w:name w:val="Пункт2"/>
    <w:basedOn w:val="730"/>
    <w:link w:val="99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2">
    <w:name w:val="page number"/>
    <w:basedOn w:val="740"/>
  </w:style>
  <w:style w:type="paragraph" w:styleId="913">
    <w:name w:val="toc 1"/>
    <w:basedOn w:val="730"/>
    <w:next w:val="73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14">
    <w:name w:val="toc 3"/>
    <w:basedOn w:val="730"/>
    <w:next w:val="730"/>
    <w:uiPriority w:val="39"/>
    <w:pPr>
      <w:ind w:left="280"/>
    </w:pPr>
    <w:rPr>
      <w:rFonts w:cstheme="minorHAnsi"/>
      <w:sz w:val="20"/>
      <w:szCs w:val="20"/>
    </w:rPr>
  </w:style>
  <w:style w:type="character" w:styleId="915">
    <w:name w:val="Hyperlink"/>
    <w:uiPriority w:val="99"/>
    <w:rPr>
      <w:color w:val="0000ff"/>
      <w:u w:val="single"/>
    </w:rPr>
  </w:style>
  <w:style w:type="paragraph" w:styleId="916" w:customStyle="1">
    <w:name w:val="Раздел регламента"/>
    <w:basedOn w:val="730"/>
  </w:style>
  <w:style w:type="paragraph" w:styleId="917" w:customStyle="1">
    <w:name w:val="Приложение к регламенту"/>
    <w:basedOn w:val="730"/>
    <w:pPr>
      <w:jc w:val="right"/>
    </w:pPr>
  </w:style>
  <w:style w:type="paragraph" w:styleId="918">
    <w:name w:val="toc 2"/>
    <w:basedOn w:val="730"/>
    <w:next w:val="73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9">
    <w:name w:val="Balloon Text"/>
    <w:basedOn w:val="730"/>
    <w:semiHidden/>
    <w:rPr>
      <w:rFonts w:ascii="Tahoma" w:hAnsi="Tahoma" w:cs="Tahoma"/>
      <w:sz w:val="16"/>
      <w:szCs w:val="16"/>
    </w:rPr>
  </w:style>
  <w:style w:type="character" w:styleId="920">
    <w:name w:val="annotation reference"/>
    <w:uiPriority w:val="99"/>
    <w:semiHidden/>
    <w:rPr>
      <w:sz w:val="16"/>
      <w:szCs w:val="16"/>
    </w:rPr>
  </w:style>
  <w:style w:type="paragraph" w:styleId="921">
    <w:name w:val="annotation text"/>
    <w:basedOn w:val="730"/>
    <w:link w:val="986"/>
    <w:qFormat/>
    <w:rPr>
      <w:sz w:val="20"/>
      <w:szCs w:val="20"/>
    </w:rPr>
  </w:style>
  <w:style w:type="paragraph" w:styleId="922">
    <w:name w:val="annotation subject"/>
    <w:basedOn w:val="921"/>
    <w:next w:val="921"/>
    <w:semiHidden/>
    <w:rPr>
      <w:b/>
      <w:bCs/>
    </w:rPr>
  </w:style>
  <w:style w:type="paragraph" w:styleId="923" w:customStyle="1">
    <w:name w:val="Обычный (веб)1"/>
    <w:basedOn w:val="73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4">
    <w:name w:val="toc 9"/>
    <w:basedOn w:val="730"/>
    <w:next w:val="73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5">
    <w:name w:val="toc 5"/>
    <w:basedOn w:val="730"/>
    <w:next w:val="73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6">
    <w:name w:val="toc 4"/>
    <w:basedOn w:val="730"/>
    <w:next w:val="730"/>
    <w:uiPriority w:val="39"/>
    <w:pPr>
      <w:jc w:val="both"/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27" w:customStyle="1">
    <w:name w:val="Раздел положения 2"/>
    <w:basedOn w:val="730"/>
    <w:pPr>
      <w:jc w:val="both"/>
      <w:pageBreakBefore/>
      <w:outlineLvl w:val="0"/>
    </w:pPr>
    <w:rPr>
      <w:b/>
    </w:rPr>
  </w:style>
  <w:style w:type="character" w:styleId="928">
    <w:name w:val="Strong"/>
    <w:qFormat/>
    <w:rPr>
      <w:b/>
      <w:bCs/>
    </w:rPr>
  </w:style>
  <w:style w:type="character" w:styleId="929" w:customStyle="1">
    <w:name w:val="Заголовок 6 Знак"/>
    <w:link w:val="736"/>
    <w:uiPriority w:val="9"/>
    <w:rPr>
      <w:rFonts w:ascii="Cambria" w:hAnsi="Cambria"/>
      <w:i/>
      <w:iCs/>
      <w:color w:val="243f60"/>
    </w:rPr>
  </w:style>
  <w:style w:type="character" w:styleId="930" w:customStyle="1">
    <w:name w:val="Заголовок 7 Знак"/>
    <w:link w:val="737"/>
    <w:uiPriority w:val="9"/>
    <w:rPr>
      <w:rFonts w:ascii="Cambria" w:hAnsi="Cambria"/>
      <w:i/>
      <w:iCs/>
      <w:color w:val="404040"/>
    </w:rPr>
  </w:style>
  <w:style w:type="character" w:styleId="931" w:customStyle="1">
    <w:name w:val="Заголовок 8 Знак"/>
    <w:link w:val="738"/>
    <w:uiPriority w:val="9"/>
    <w:rPr>
      <w:rFonts w:ascii="Cambria" w:hAnsi="Cambria"/>
      <w:color w:val="4f81bd"/>
    </w:rPr>
  </w:style>
  <w:style w:type="character" w:styleId="932" w:customStyle="1">
    <w:name w:val="Заголовок 1 Знак"/>
    <w:link w:val="731"/>
    <w:rPr>
      <w:rFonts w:eastAsia="Calibri"/>
      <w:b/>
      <w:sz w:val="28"/>
      <w:szCs w:val="28"/>
    </w:rPr>
  </w:style>
  <w:style w:type="paragraph" w:styleId="933" w:customStyle="1">
    <w:name w:val="Знак Знак Знак Знак Знак Знак Знак Знак Знак"/>
    <w:basedOn w:val="73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4" w:customStyle="1">
    <w:name w:val="Заголовок 2 Знак"/>
    <w:link w:val="732"/>
    <w:rPr>
      <w:rFonts w:eastAsia="Calibri"/>
      <w:b/>
      <w:bCs/>
      <w:sz w:val="23"/>
      <w:szCs w:val="23"/>
    </w:rPr>
  </w:style>
  <w:style w:type="character" w:styleId="935" w:customStyle="1">
    <w:name w:val="Заголовок 3 Знак"/>
    <w:link w:val="733"/>
    <w:rPr>
      <w:rFonts w:eastAsia="Calibri"/>
      <w:b/>
      <w:sz w:val="23"/>
      <w:szCs w:val="23"/>
    </w:rPr>
  </w:style>
  <w:style w:type="character" w:styleId="936" w:customStyle="1">
    <w:name w:val="Заголовок 4 Знак"/>
    <w:link w:val="734"/>
    <w:rPr>
      <w:rFonts w:eastAsia="Calibri"/>
      <w:b/>
      <w:bCs/>
      <w:sz w:val="23"/>
      <w:szCs w:val="23"/>
    </w:rPr>
  </w:style>
  <w:style w:type="character" w:styleId="937" w:customStyle="1">
    <w:name w:val="Заголовок 5 Знак"/>
    <w:link w:val="735"/>
    <w:uiPriority w:val="9"/>
    <w:rPr>
      <w:b/>
      <w:bCs/>
      <w:i/>
      <w:iCs/>
      <w:sz w:val="26"/>
      <w:szCs w:val="26"/>
    </w:rPr>
  </w:style>
  <w:style w:type="character" w:styleId="938" w:customStyle="1">
    <w:name w:val="Заголовок 9 Знак"/>
    <w:link w:val="739"/>
    <w:uiPriority w:val="9"/>
    <w:rPr>
      <w:rFonts w:ascii="Arial" w:hAnsi="Arial" w:cs="Arial"/>
      <w:sz w:val="22"/>
      <w:szCs w:val="22"/>
    </w:rPr>
  </w:style>
  <w:style w:type="paragraph" w:styleId="939">
    <w:name w:val="No Spacing"/>
    <w:basedOn w:val="73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0">
    <w:name w:val="Caption"/>
    <w:basedOn w:val="730"/>
    <w:next w:val="730"/>
    <w:link w:val="745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1" w:customStyle="1">
    <w:name w:val="Название Знак"/>
    <w:link w:val="899"/>
    <w:uiPriority w:val="10"/>
    <w:rPr>
      <w:sz w:val="28"/>
    </w:rPr>
  </w:style>
  <w:style w:type="paragraph" w:styleId="942">
    <w:name w:val="Subtitle"/>
    <w:basedOn w:val="730"/>
    <w:next w:val="730"/>
    <w:link w:val="94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3" w:customStyle="1">
    <w:name w:val="Подзаголовок Знак"/>
    <w:link w:val="94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4">
    <w:name w:val="Emphasis"/>
    <w:uiPriority w:val="20"/>
    <w:qFormat/>
    <w:rPr>
      <w:i/>
      <w:iCs/>
    </w:rPr>
  </w:style>
  <w:style w:type="paragraph" w:styleId="945">
    <w:name w:val="List Paragraph"/>
    <w:basedOn w:val="730"/>
    <w:link w:val="97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6">
    <w:name w:val="Quote"/>
    <w:basedOn w:val="730"/>
    <w:next w:val="730"/>
    <w:link w:val="94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7" w:customStyle="1">
    <w:name w:val="Цитата 2 Знак"/>
    <w:link w:val="946"/>
    <w:uiPriority w:val="29"/>
    <w:rPr>
      <w:rFonts w:ascii="Calibri" w:hAnsi="Calibri" w:eastAsia="Calibri"/>
      <w:i/>
      <w:iCs/>
      <w:color w:val="000000"/>
    </w:rPr>
  </w:style>
  <w:style w:type="paragraph" w:styleId="948">
    <w:name w:val="Intense Quote"/>
    <w:basedOn w:val="730"/>
    <w:next w:val="730"/>
    <w:link w:val="94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9" w:customStyle="1">
    <w:name w:val="Выделенная цитата Знак"/>
    <w:link w:val="948"/>
    <w:uiPriority w:val="30"/>
    <w:rPr>
      <w:rFonts w:ascii="Calibri" w:hAnsi="Calibri" w:eastAsia="Calibri"/>
      <w:b/>
      <w:bCs/>
      <w:i/>
      <w:iCs/>
      <w:color w:val="4f81bd"/>
    </w:rPr>
  </w:style>
  <w:style w:type="character" w:styleId="950">
    <w:name w:val="Subtle Emphasis"/>
    <w:uiPriority w:val="19"/>
    <w:qFormat/>
    <w:rPr>
      <w:i/>
      <w:iCs/>
      <w:color w:val="808080"/>
    </w:rPr>
  </w:style>
  <w:style w:type="character" w:styleId="951">
    <w:name w:val="Intense Emphasis"/>
    <w:uiPriority w:val="21"/>
    <w:qFormat/>
    <w:rPr>
      <w:b/>
      <w:bCs/>
      <w:i/>
      <w:iCs/>
      <w:color w:val="4f81bd"/>
    </w:rPr>
  </w:style>
  <w:style w:type="character" w:styleId="952">
    <w:name w:val="Subtle Reference"/>
    <w:uiPriority w:val="31"/>
    <w:qFormat/>
    <w:rPr>
      <w:smallCaps/>
      <w:color w:val="c0504d"/>
      <w:u w:val="single"/>
    </w:rPr>
  </w:style>
  <w:style w:type="character" w:styleId="95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4">
    <w:name w:val="Book Title"/>
    <w:uiPriority w:val="33"/>
    <w:qFormat/>
    <w:rPr>
      <w:b/>
      <w:bCs/>
      <w:smallCaps/>
      <w:spacing w:val="5"/>
    </w:rPr>
  </w:style>
  <w:style w:type="paragraph" w:styleId="955">
    <w:name w:val="TOC Heading"/>
    <w:basedOn w:val="731"/>
    <w:next w:val="73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6">
    <w:name w:val="E-mail Signature"/>
    <w:basedOn w:val="730"/>
    <w:link w:val="957"/>
    <w:uiPriority w:val="99"/>
    <w:unhideWhenUsed/>
    <w:rPr>
      <w:rFonts w:eastAsia="Calibri"/>
      <w:sz w:val="24"/>
      <w:szCs w:val="24"/>
    </w:rPr>
  </w:style>
  <w:style w:type="character" w:styleId="957" w:customStyle="1">
    <w:name w:val="Электронная подпись Знак"/>
    <w:link w:val="956"/>
    <w:uiPriority w:val="99"/>
    <w:rPr>
      <w:rFonts w:eastAsia="Calibri"/>
      <w:sz w:val="24"/>
      <w:szCs w:val="24"/>
    </w:rPr>
  </w:style>
  <w:style w:type="paragraph" w:styleId="958" w:customStyle="1">
    <w:name w:val="Знак"/>
    <w:basedOn w:val="7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9" w:customStyle="1">
    <w:name w:val="Нумерованный список ур3"/>
    <w:basedOn w:val="73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0" w:customStyle="1">
    <w:name w:val="Нумерованный список 1"/>
    <w:basedOn w:val="73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1" w:customStyle="1">
    <w:name w:val="Нумерованный список ур2"/>
    <w:basedOn w:val="73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2">
    <w:name w:val="Revision"/>
    <w:hidden/>
    <w:uiPriority w:val="99"/>
    <w:semiHidden/>
    <w:rPr>
      <w:rFonts w:eastAsia="Calibri"/>
      <w:sz w:val="24"/>
      <w:szCs w:val="24"/>
    </w:rPr>
  </w:style>
  <w:style w:type="paragraph" w:styleId="9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4" w:customStyle="1">
    <w:name w:val="Знак Знак3 Знак Знак"/>
    <w:basedOn w:val="73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5" w:customStyle="1">
    <w:name w:val="Пункт"/>
    <w:basedOn w:val="73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6" w:customStyle="1">
    <w:name w:val="Подпункт Знак1"/>
    <w:link w:val="910"/>
    <w:rPr>
      <w:sz w:val="28"/>
    </w:rPr>
  </w:style>
  <w:style w:type="paragraph" w:styleId="967" w:customStyle="1">
    <w:name w:val="Абзац списка1"/>
    <w:basedOn w:val="73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8" w:customStyle="1">
    <w:name w:val="Текст сноски Знак"/>
    <w:link w:val="894"/>
    <w:uiPriority w:val="99"/>
  </w:style>
  <w:style w:type="numbering" w:styleId="969" w:customStyle="1">
    <w:name w:val="Стиль1"/>
    <w:uiPriority w:val="99"/>
    <w:pPr>
      <w:numPr>
        <w:ilvl w:val="0"/>
        <w:numId w:val="3"/>
      </w:numPr>
    </w:pPr>
  </w:style>
  <w:style w:type="paragraph" w:styleId="970" w:customStyle="1">
    <w:name w:val="Таблица"/>
    <w:basedOn w:val="73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1" w:customStyle="1">
    <w:name w:val="Основной текст Знак"/>
    <w:link w:val="904"/>
    <w:rPr>
      <w:sz w:val="28"/>
      <w:szCs w:val="28"/>
    </w:rPr>
  </w:style>
  <w:style w:type="character" w:styleId="972" w:customStyle="1">
    <w:name w:val="blk"/>
  </w:style>
  <w:style w:type="numbering" w:styleId="973" w:customStyle="1">
    <w:name w:val="Стиль2"/>
    <w:uiPriority w:val="99"/>
    <w:pPr>
      <w:numPr>
        <w:ilvl w:val="0"/>
        <w:numId w:val="5"/>
      </w:numPr>
    </w:pPr>
  </w:style>
  <w:style w:type="paragraph" w:styleId="974" w:customStyle="1">
    <w:name w:val="Таблица шапка"/>
    <w:basedOn w:val="730"/>
    <w:pPr>
      <w:ind w:left="57" w:right="57"/>
      <w:keepNext/>
      <w:spacing w:before="40" w:after="40"/>
    </w:pPr>
    <w:rPr>
      <w:sz w:val="22"/>
      <w:szCs w:val="26"/>
    </w:rPr>
  </w:style>
  <w:style w:type="character" w:styleId="975" w:customStyle="1">
    <w:name w:val="Абзац списка Знак"/>
    <w:link w:val="945"/>
    <w:uiPriority w:val="34"/>
    <w:rPr>
      <w:rFonts w:eastAsia="Calibri"/>
      <w:sz w:val="24"/>
      <w:szCs w:val="24"/>
    </w:rPr>
  </w:style>
  <w:style w:type="character" w:styleId="976" w:customStyle="1">
    <w:name w:val="комментарий"/>
    <w:qFormat/>
    <w:rPr>
      <w:b/>
      <w:i/>
      <w:shd w:val="clear" w:color="auto" w:fill="ffff99"/>
    </w:rPr>
  </w:style>
  <w:style w:type="paragraph" w:styleId="977" w:customStyle="1">
    <w:name w:val="Подподпункт"/>
    <w:basedOn w:val="910"/>
    <w:link w:val="97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78" w:customStyle="1">
    <w:name w:val="Подподпункт Знак"/>
    <w:link w:val="977"/>
    <w:rPr>
      <w:sz w:val="26"/>
      <w:szCs w:val="26"/>
    </w:rPr>
  </w:style>
  <w:style w:type="paragraph" w:styleId="979" w:customStyle="1">
    <w:name w:val="УРОВЕНЬ_(а)"/>
    <w:basedOn w:val="94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0" w:customStyle="1">
    <w:name w:val="УРОВЕНЬ_-"/>
    <w:basedOn w:val="94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1" w:customStyle="1">
    <w:name w:val="УРОВЕНЬ_Абзац_тип2"/>
    <w:basedOn w:val="94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2" w:customStyle="1">
    <w:name w:val="УРОВЕНЬ_Абзац_тип3"/>
    <w:basedOn w:val="945"/>
    <w:link w:val="98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3" w:customStyle="1">
    <w:name w:val="УРОВЕНЬ_Подпись"/>
    <w:basedOn w:val="94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4" w:customStyle="1">
    <w:name w:val="УРОВЕНЬ_Абзац_тип3 Знак"/>
    <w:link w:val="982"/>
    <w:rPr>
      <w:rFonts w:eastAsia="Calibri"/>
      <w:sz w:val="26"/>
      <w:szCs w:val="28"/>
      <w:lang w:eastAsia="en-US"/>
    </w:rPr>
  </w:style>
  <w:style w:type="character" w:styleId="985" w:customStyle="1">
    <w:name w:val="Верхний колонтитул Знак"/>
    <w:link w:val="900"/>
    <w:uiPriority w:val="99"/>
    <w:rPr>
      <w:sz w:val="24"/>
      <w:szCs w:val="24"/>
    </w:rPr>
  </w:style>
  <w:style w:type="character" w:styleId="986" w:customStyle="1">
    <w:name w:val="Текст примечания Знак"/>
    <w:link w:val="921"/>
    <w:qFormat/>
  </w:style>
  <w:style w:type="paragraph" w:styleId="987" w:customStyle="1">
    <w:name w:val="Стиль Заголовок 1 + по ширине"/>
    <w:basedOn w:val="73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88">
    <w:name w:val="endnote text"/>
    <w:basedOn w:val="730"/>
    <w:link w:val="989"/>
    <w:rPr>
      <w:sz w:val="20"/>
      <w:szCs w:val="20"/>
    </w:rPr>
  </w:style>
  <w:style w:type="character" w:styleId="989" w:customStyle="1">
    <w:name w:val="Текст концевой сноски Знак"/>
    <w:basedOn w:val="740"/>
    <w:link w:val="988"/>
  </w:style>
  <w:style w:type="character" w:styleId="990">
    <w:name w:val="endnote reference"/>
    <w:basedOn w:val="740"/>
    <w:rPr>
      <w:vertAlign w:val="superscript"/>
    </w:rPr>
  </w:style>
  <w:style w:type="paragraph" w:styleId="991" w:customStyle="1">
    <w:name w:val="Заголовок 2 КВВ"/>
    <w:basedOn w:val="73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2" w:customStyle="1">
    <w:name w:val="Пункт2 Знак"/>
    <w:link w:val="911"/>
    <w:rPr>
      <w:b/>
      <w:sz w:val="28"/>
    </w:rPr>
  </w:style>
  <w:style w:type="paragraph" w:styleId="993" w:customStyle="1">
    <w:name w:val="Таблица текст"/>
    <w:basedOn w:val="730"/>
    <w:pPr>
      <w:ind w:left="57" w:right="57"/>
      <w:spacing w:before="40" w:after="40"/>
    </w:pPr>
    <w:rPr>
      <w:sz w:val="24"/>
      <w:szCs w:val="26"/>
    </w:rPr>
  </w:style>
  <w:style w:type="paragraph" w:styleId="994">
    <w:name w:val="Normal (Web)"/>
    <w:basedOn w:val="73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5" w:customStyle="1">
    <w:name w:val="УРОВЕНЬ_1."/>
    <w:basedOn w:val="945"/>
    <w:link w:val="99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6" w:customStyle="1">
    <w:name w:val="УРОВЕНЬ_1. Знак"/>
    <w:link w:val="995"/>
    <w:rPr>
      <w:rFonts w:eastAsia="Calibri"/>
      <w:caps/>
      <w:sz w:val="28"/>
      <w:szCs w:val="28"/>
      <w:lang w:eastAsia="en-US"/>
    </w:rPr>
  </w:style>
  <w:style w:type="table" w:styleId="997" w:customStyle="1">
    <w:name w:val="Сетка таблицы1"/>
    <w:basedOn w:val="741"/>
    <w:next w:val="90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8">
    <w:name w:val="toc 6"/>
    <w:basedOn w:val="730"/>
    <w:next w:val="73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9">
    <w:name w:val="toc 7"/>
    <w:basedOn w:val="730"/>
    <w:next w:val="73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0">
    <w:name w:val="toc 8"/>
    <w:basedOn w:val="730"/>
    <w:next w:val="73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1" w:customStyle="1">
    <w:name w:val="Неразрешенное упоминание1"/>
    <w:basedOn w:val="740"/>
    <w:uiPriority w:val="99"/>
    <w:semiHidden/>
    <w:unhideWhenUsed/>
    <w:rPr>
      <w:color w:val="605e5c"/>
      <w:shd w:val="clear" w:color="auto" w:fill="e1dfdd"/>
    </w:rPr>
  </w:style>
  <w:style w:type="character" w:styleId="1002" w:customStyle="1">
    <w:name w:val="Основной текст с отступом 3 Знак"/>
    <w:link w:val="907"/>
    <w:rPr>
      <w:sz w:val="16"/>
      <w:szCs w:val="16"/>
    </w:rPr>
  </w:style>
  <w:style w:type="character" w:styleId="1003">
    <w:name w:val="line number"/>
    <w:basedOn w:val="740"/>
    <w:semiHidden/>
    <w:unhideWhenUsed/>
  </w:style>
  <w:style w:type="character" w:styleId="1004">
    <w:name w:val="Placeholder Text"/>
    <w:basedOn w:val="740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docs.cntd.ru/document/573068704" TargetMode="External"/><Relationship Id="rId14" Type="http://schemas.openxmlformats.org/officeDocument/2006/relationships/hyperlink" Target="https://docs.cntd.ru/document/57311469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6971B-57EE-48B6-9650-114D6FC2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gonchar_ys</cp:lastModifiedBy>
  <cp:revision>13</cp:revision>
  <dcterms:created xsi:type="dcterms:W3CDTF">2025-10-22T07:33:00Z</dcterms:created>
  <dcterms:modified xsi:type="dcterms:W3CDTF">2026-02-27T06:48:47Z</dcterms:modified>
</cp:coreProperties>
</file>